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54" w:rsidRDefault="00217354" w:rsidP="00E84827">
      <w:pPr>
        <w:jc w:val="center"/>
        <w:rPr>
          <w:rFonts w:ascii="Times New Roman" w:hAnsi="Times New Roman" w:cs="Times New Roman"/>
          <w:b/>
          <w:bCs/>
        </w:rPr>
      </w:pPr>
      <w:r w:rsidRPr="00217354">
        <w:rPr>
          <w:rFonts w:ascii="Times New Roman" w:hAnsi="Times New Roman" w:cs="Times New Roman"/>
          <w:b/>
          <w:bCs/>
        </w:rPr>
        <w:t>ВОПРОСЫ</w:t>
      </w:r>
      <w:r w:rsidRPr="00D762D3">
        <w:rPr>
          <w:rFonts w:ascii="Times New Roman" w:hAnsi="Times New Roman" w:cs="Times New Roman"/>
          <w:b/>
          <w:bCs/>
        </w:rPr>
        <w:t xml:space="preserve"> </w:t>
      </w:r>
      <w:r w:rsidRPr="00217354">
        <w:rPr>
          <w:rFonts w:ascii="Times New Roman" w:hAnsi="Times New Roman" w:cs="Times New Roman"/>
          <w:b/>
          <w:bCs/>
        </w:rPr>
        <w:t>К</w:t>
      </w:r>
      <w:r w:rsidRPr="00D762D3">
        <w:rPr>
          <w:rFonts w:ascii="Times New Roman" w:hAnsi="Times New Roman" w:cs="Times New Roman"/>
          <w:b/>
          <w:bCs/>
        </w:rPr>
        <w:t xml:space="preserve"> </w:t>
      </w:r>
      <w:r w:rsidRPr="00217354">
        <w:rPr>
          <w:rFonts w:ascii="Times New Roman" w:hAnsi="Times New Roman" w:cs="Times New Roman"/>
          <w:b/>
          <w:bCs/>
        </w:rPr>
        <w:t>ЗАЧЕТУ</w:t>
      </w:r>
      <w:r w:rsidR="00D762D3">
        <w:rPr>
          <w:rFonts w:ascii="Times New Roman" w:hAnsi="Times New Roman" w:cs="Times New Roman"/>
          <w:b/>
          <w:bCs/>
        </w:rPr>
        <w:t xml:space="preserve"> по МФК</w:t>
      </w:r>
    </w:p>
    <w:p w:rsidR="00D762D3" w:rsidRDefault="00D762D3" w:rsidP="00E848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«Искусственный интеллект и корпоративная социальная </w:t>
      </w:r>
      <w:r>
        <w:rPr>
          <w:rFonts w:ascii="Times New Roman" w:hAnsi="Times New Roman" w:cs="Times New Roman"/>
          <w:b/>
          <w:bCs/>
        </w:rPr>
        <w:br/>
        <w:t xml:space="preserve">ответственность </w:t>
      </w:r>
      <w:r w:rsidRPr="00D762D3">
        <w:rPr>
          <w:rFonts w:ascii="Times New Roman" w:hAnsi="Times New Roman" w:cs="Times New Roman"/>
          <w:b/>
          <w:bCs/>
        </w:rPr>
        <w:t>бизнеса и государства (на английском языке)</w:t>
      </w:r>
      <w:r>
        <w:rPr>
          <w:rFonts w:ascii="Times New Roman" w:hAnsi="Times New Roman" w:cs="Times New Roman"/>
          <w:b/>
          <w:bCs/>
        </w:rPr>
        <w:t>»</w:t>
      </w:r>
    </w:p>
    <w:p w:rsidR="00E84827" w:rsidRDefault="00E84827" w:rsidP="00E84827">
      <w:pPr>
        <w:jc w:val="center"/>
        <w:rPr>
          <w:rFonts w:ascii="Times New Roman" w:hAnsi="Times New Roman" w:cs="Times New Roman"/>
          <w:b/>
          <w:bCs/>
        </w:rPr>
      </w:pPr>
    </w:p>
    <w:p w:rsidR="00E84827" w:rsidRPr="00D762D3" w:rsidRDefault="00E84827" w:rsidP="00E84827">
      <w:pPr>
        <w:jc w:val="center"/>
        <w:rPr>
          <w:rFonts w:ascii="Times New Roman" w:hAnsi="Times New Roman" w:cs="Times New Roman"/>
          <w:b/>
          <w:bCs/>
        </w:rPr>
      </w:pP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1. The concept of responsibility. Responsibility in management and its purpose. The typology</w:t>
      </w:r>
      <w:r w:rsidR="00D762D3" w:rsidRPr="00E84827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of responsibility.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2. The main milestones in the evolution of the CSR concept. The main stages of the evolution of the CSR concept.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The main provisions of the theories of corporate egoism, corporate altruism, reasonable</w:t>
      </w:r>
      <w:r w:rsidR="00855DC2" w:rsidRPr="00855DC2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egoism.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3. Formation and formation of the concept of sustainable development of companies. Concepts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of corporate social responsibility, corporate social sensitivity,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corporate social activities, corporate citizenship, sustainable development.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4. The practice of sustainable development of companies in Russia.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5. The CSR pyramid proposed by A. Carroll.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6. The "three-point total" model. The "3P" model. The interrelationships of the "3P" model, corporate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social responsibility and corporate sustainability.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7. Indicators of sustainable development of companies. The Dow Jones Sustainability Index. The SAM sustainability assessment model. The family of Sustainable Development Indices (IES).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8. Macro- and micro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regulators of CSR.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9. Tiered, circular and spherical CSR models.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10. The structure of the CSR information space. The Internet, Intranet, and Extranet are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CSR levels.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11. The concept of CSR in the framework of the theory of stakeholders. Steakhouses and steakhouses.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12. Standardization of social responsibility relations.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13. The standard model and the general methodology of end-to-end integration of social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responsibility in the organization.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14. The basic models of interaction between business, government and society – pluralistic and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neo-corporatist, their features and characteristics.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15. Comparative characteristics of American, German and Scandinavian models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social interaction between the state, business and society.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16. Public-private partnership as a form of interaction between business and government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in the field of CSR. Forms of public-private partnership within the framework of the CSR concept implementation.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17. Modern mechanisms, tools and stages of business interaction with local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authorities and society.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18. The institutional environment of interaction between business, government and society in the field of CSR.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The main scenarios for the development of these interactions.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19. Public regulators and civil society resources in the field of CSR.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20. Peculiarities of the correlation of the state (municipal, regional,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federal) and private sectors in corporate social responsibility. The structural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 xml:space="preserve">and logical scheme of the modern model of social investment in the field of CSR. </w:t>
      </w:r>
      <w:r w:rsidR="00BE466C">
        <w:rPr>
          <w:rFonts w:ascii="Times New Roman" w:hAnsi="Times New Roman" w:cs="Times New Roman"/>
          <w:lang w:val="en-US"/>
        </w:rPr>
        <w:t>S</w:t>
      </w:r>
      <w:r w:rsidRPr="00217354">
        <w:rPr>
          <w:rFonts w:ascii="Times New Roman" w:hAnsi="Times New Roman" w:cs="Times New Roman"/>
          <w:lang w:val="en-US"/>
        </w:rPr>
        <w:t>ocial investments in the framework of CSR.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lastRenderedPageBreak/>
        <w:t>21. Regional clusters of socio-economic development that determine the choice of the type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of national projects to be implemented.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22. Social strategic Alliance: content, features, areas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of dissemination.</w:t>
      </w:r>
    </w:p>
    <w:p w:rsidR="00BE466C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 xml:space="preserve">23. Corporate social responsibility in the context of the socio-cultural environment. 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24. Conflicting interests of business and government. The problem of trust in the economy.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Corruption as a result of a breach of trust.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2</w:t>
      </w:r>
      <w:r w:rsidR="00427412">
        <w:rPr>
          <w:rFonts w:ascii="Times New Roman" w:hAnsi="Times New Roman" w:cs="Times New Roman"/>
          <w:lang w:val="en-US"/>
        </w:rPr>
        <w:t>5</w:t>
      </w:r>
      <w:r w:rsidRPr="00217354">
        <w:rPr>
          <w:rFonts w:ascii="Times New Roman" w:hAnsi="Times New Roman" w:cs="Times New Roman"/>
          <w:lang w:val="en-US"/>
        </w:rPr>
        <w:t>. The content, forms, types and sources of corruption activities. Causes,</w:t>
      </w:r>
      <w:r w:rsidR="00D762D3" w:rsidRPr="00E84827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sources and economic consequences of corruption.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2</w:t>
      </w:r>
      <w:r w:rsidR="00427412">
        <w:rPr>
          <w:rFonts w:ascii="Times New Roman" w:hAnsi="Times New Roman" w:cs="Times New Roman"/>
          <w:lang w:val="en-US"/>
        </w:rPr>
        <w:t>6</w:t>
      </w:r>
      <w:r w:rsidRPr="00217354">
        <w:rPr>
          <w:rFonts w:ascii="Times New Roman" w:hAnsi="Times New Roman" w:cs="Times New Roman"/>
          <w:lang w:val="en-US"/>
        </w:rPr>
        <w:t>. Methods of combating corruption and fraud in the context of "business – government – society".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2</w:t>
      </w:r>
      <w:r w:rsidR="00427412">
        <w:rPr>
          <w:rFonts w:ascii="Times New Roman" w:hAnsi="Times New Roman" w:cs="Times New Roman"/>
          <w:lang w:val="en-US"/>
        </w:rPr>
        <w:t>7</w:t>
      </w:r>
      <w:r w:rsidRPr="00217354">
        <w:rPr>
          <w:rFonts w:ascii="Times New Roman" w:hAnsi="Times New Roman" w:cs="Times New Roman"/>
          <w:lang w:val="en-US"/>
        </w:rPr>
        <w:t>. The essence of the social paradigm of entrepreneurial thinking. Types of socially</w:t>
      </w:r>
      <w:r w:rsidR="00D762D3" w:rsidRPr="00E84827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active companies. Social entrepreneurship. Competitive advantages of a socially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oriented company in comparison with an economically oriented one.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2</w:t>
      </w:r>
      <w:r w:rsidR="00427412">
        <w:rPr>
          <w:rFonts w:ascii="Times New Roman" w:hAnsi="Times New Roman" w:cs="Times New Roman"/>
          <w:lang w:val="en-US"/>
        </w:rPr>
        <w:t>7</w:t>
      </w:r>
      <w:r w:rsidRPr="00217354">
        <w:rPr>
          <w:rFonts w:ascii="Times New Roman" w:hAnsi="Times New Roman" w:cs="Times New Roman"/>
          <w:lang w:val="en-US"/>
        </w:rPr>
        <w:t>. The impact of market failures on the company's social orientation. Ways</w:t>
      </w:r>
      <w:r w:rsidR="00D762D3" w:rsidRPr="00855DC2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to correct market failures by socially oriented companies.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30. Development of a social project within the framework of CSR. Subjects and objects of social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design in the framework of CSR.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37. Internal and external social policy of the company.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Evaluation of corporate social programs. Performance indicators, monitoring,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expert assessments, ratings.</w:t>
      </w:r>
    </w:p>
    <w:p w:rsidR="00427412" w:rsidRPr="00217354" w:rsidRDefault="00427412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38</w:t>
      </w:r>
      <w:r w:rsidR="00217354" w:rsidRPr="00217354">
        <w:rPr>
          <w:rFonts w:ascii="Times New Roman" w:hAnsi="Times New Roman" w:cs="Times New Roman"/>
          <w:lang w:val="en-US"/>
        </w:rPr>
        <w:t>. Methods of ethical filtering of the company's effectiveness</w:t>
      </w:r>
    </w:p>
    <w:p w:rsidR="00217354" w:rsidRPr="00217354" w:rsidRDefault="00427412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39</w:t>
      </w:r>
      <w:r w:rsidR="00217354" w:rsidRPr="00217354">
        <w:rPr>
          <w:rFonts w:ascii="Times New Roman" w:hAnsi="Times New Roman" w:cs="Times New Roman"/>
          <w:lang w:val="en-US"/>
        </w:rPr>
        <w:t>. The main indicators of the company's social activity. The effects of socially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="00217354" w:rsidRPr="00217354">
        <w:rPr>
          <w:rFonts w:ascii="Times New Roman" w:hAnsi="Times New Roman" w:cs="Times New Roman"/>
          <w:lang w:val="en-US"/>
        </w:rPr>
        <w:t>responsible company behavior.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4</w:t>
      </w:r>
      <w:r w:rsidR="00427412">
        <w:rPr>
          <w:rFonts w:ascii="Times New Roman" w:hAnsi="Times New Roman" w:cs="Times New Roman"/>
          <w:lang w:val="en-US"/>
        </w:rPr>
        <w:t>0</w:t>
      </w:r>
      <w:r w:rsidRPr="00217354">
        <w:rPr>
          <w:rFonts w:ascii="Times New Roman" w:hAnsi="Times New Roman" w:cs="Times New Roman"/>
          <w:lang w:val="en-US"/>
        </w:rPr>
        <w:t>. Methodology for measuring the company's strategic benefits from CSR activities.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4</w:t>
      </w:r>
      <w:r w:rsidR="00427412">
        <w:rPr>
          <w:rFonts w:ascii="Times New Roman" w:hAnsi="Times New Roman" w:cs="Times New Roman"/>
          <w:lang w:val="en-US"/>
        </w:rPr>
        <w:t>1</w:t>
      </w:r>
      <w:r w:rsidRPr="00217354">
        <w:rPr>
          <w:rFonts w:ascii="Times New Roman" w:hAnsi="Times New Roman" w:cs="Times New Roman"/>
          <w:lang w:val="en-US"/>
        </w:rPr>
        <w:t>. Non-financial reporting of companies. Factors that encourage companies to conduct business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Pr="00217354">
        <w:rPr>
          <w:rFonts w:ascii="Times New Roman" w:hAnsi="Times New Roman" w:cs="Times New Roman"/>
          <w:lang w:val="en-US"/>
        </w:rPr>
        <w:t>non-financial reports. Types of non-financial reporting. The typical structure of non-financial reporting.</w:t>
      </w:r>
    </w:p>
    <w:p w:rsidR="00217354" w:rsidRPr="00217354" w:rsidRDefault="00217354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217354">
        <w:rPr>
          <w:rFonts w:ascii="Times New Roman" w:hAnsi="Times New Roman" w:cs="Times New Roman"/>
          <w:lang w:val="en-US"/>
        </w:rPr>
        <w:t>4</w:t>
      </w:r>
      <w:r w:rsidR="00427412">
        <w:rPr>
          <w:rFonts w:ascii="Times New Roman" w:hAnsi="Times New Roman" w:cs="Times New Roman"/>
          <w:lang w:val="en-US"/>
        </w:rPr>
        <w:t>2</w:t>
      </w:r>
      <w:r w:rsidRPr="00217354">
        <w:rPr>
          <w:rFonts w:ascii="Times New Roman" w:hAnsi="Times New Roman" w:cs="Times New Roman"/>
          <w:lang w:val="en-US"/>
        </w:rPr>
        <w:t>. Organization of charity within the framework of the company's CSR.</w:t>
      </w:r>
    </w:p>
    <w:p w:rsidR="00217354" w:rsidRPr="00217354" w:rsidRDefault="00427412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43</w:t>
      </w:r>
      <w:r w:rsidR="00217354" w:rsidRPr="00217354">
        <w:rPr>
          <w:rFonts w:ascii="Times New Roman" w:hAnsi="Times New Roman" w:cs="Times New Roman"/>
          <w:lang w:val="en-US"/>
        </w:rPr>
        <w:t>. Social responsibility of businessmen. Factors contributing to and constraining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="00217354" w:rsidRPr="00217354">
        <w:rPr>
          <w:rFonts w:ascii="Times New Roman" w:hAnsi="Times New Roman" w:cs="Times New Roman"/>
          <w:lang w:val="en-US"/>
        </w:rPr>
        <w:t>the social responsibility of businessmen. A system of motivation for socially responsible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="00217354" w:rsidRPr="00217354">
        <w:rPr>
          <w:rFonts w:ascii="Times New Roman" w:hAnsi="Times New Roman" w:cs="Times New Roman"/>
          <w:lang w:val="en-US"/>
        </w:rPr>
        <w:t>behavior of businessmen. Ethical justification and condemnation of wealth and property of a businessman.</w:t>
      </w:r>
    </w:p>
    <w:p w:rsidR="00217354" w:rsidRPr="00217354" w:rsidRDefault="00427412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44</w:t>
      </w:r>
      <w:r w:rsidR="00217354" w:rsidRPr="00217354">
        <w:rPr>
          <w:rFonts w:ascii="Times New Roman" w:hAnsi="Times New Roman" w:cs="Times New Roman"/>
          <w:lang w:val="en-US"/>
        </w:rPr>
        <w:t>. Social responsibility of managers. Social roles of managers. Mechanisms</w:t>
      </w:r>
      <w:r w:rsidR="00D762D3" w:rsidRPr="00E84827">
        <w:rPr>
          <w:rFonts w:ascii="Times New Roman" w:hAnsi="Times New Roman" w:cs="Times New Roman"/>
          <w:lang w:val="en-US"/>
        </w:rPr>
        <w:t xml:space="preserve"> </w:t>
      </w:r>
      <w:r w:rsidR="00217354" w:rsidRPr="00217354">
        <w:rPr>
          <w:rFonts w:ascii="Times New Roman" w:hAnsi="Times New Roman" w:cs="Times New Roman"/>
          <w:lang w:val="en-US"/>
        </w:rPr>
        <w:t>of awakening social responsibility.</w:t>
      </w:r>
    </w:p>
    <w:p w:rsidR="00217354" w:rsidRPr="00217354" w:rsidRDefault="00427412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45</w:t>
      </w:r>
      <w:r w:rsidR="00217354" w:rsidRPr="00217354">
        <w:rPr>
          <w:rFonts w:ascii="Times New Roman" w:hAnsi="Times New Roman" w:cs="Times New Roman"/>
          <w:lang w:val="en-US"/>
        </w:rPr>
        <w:t xml:space="preserve">. Social responsibility of a top manager. Methods of studying the opinions of top </w:t>
      </w:r>
      <w:proofErr w:type="spellStart"/>
      <w:r w:rsidR="00217354" w:rsidRPr="00217354">
        <w:rPr>
          <w:rFonts w:ascii="Times New Roman" w:hAnsi="Times New Roman" w:cs="Times New Roman"/>
          <w:lang w:val="en-US"/>
        </w:rPr>
        <w:t>managersin</w:t>
      </w:r>
      <w:proofErr w:type="spellEnd"/>
      <w:r w:rsidR="00217354" w:rsidRPr="00217354">
        <w:rPr>
          <w:rFonts w:ascii="Times New Roman" w:hAnsi="Times New Roman" w:cs="Times New Roman"/>
          <w:lang w:val="en-US"/>
        </w:rPr>
        <w:t xml:space="preserve"> their assessments of corporate social responsibility.</w:t>
      </w:r>
    </w:p>
    <w:p w:rsidR="00217354" w:rsidRPr="00217354" w:rsidRDefault="00427412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46</w:t>
      </w:r>
      <w:r w:rsidR="00217354" w:rsidRPr="00217354">
        <w:rPr>
          <w:rFonts w:ascii="Times New Roman" w:hAnsi="Times New Roman" w:cs="Times New Roman"/>
          <w:lang w:val="en-US"/>
        </w:rPr>
        <w:t>. Social responsibility of employees. Mechanisms and regulators of socially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="00217354" w:rsidRPr="00217354">
        <w:rPr>
          <w:rFonts w:ascii="Times New Roman" w:hAnsi="Times New Roman" w:cs="Times New Roman"/>
          <w:lang w:val="en-US"/>
        </w:rPr>
        <w:t>responsible employee behavior. Incentives and sanctions for socially responsible behavior.</w:t>
      </w:r>
    </w:p>
    <w:p w:rsidR="00217354" w:rsidRPr="00217354" w:rsidRDefault="00427412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47</w:t>
      </w:r>
      <w:r w:rsidR="00217354" w:rsidRPr="00217354">
        <w:rPr>
          <w:rFonts w:ascii="Times New Roman" w:hAnsi="Times New Roman" w:cs="Times New Roman"/>
          <w:lang w:val="en-US"/>
        </w:rPr>
        <w:t>. Social responsibility of employees in their self-development and leadership.</w:t>
      </w:r>
    </w:p>
    <w:p w:rsidR="00217354" w:rsidRPr="00427412" w:rsidRDefault="00427412" w:rsidP="00D762D3">
      <w:p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48</w:t>
      </w:r>
      <w:r w:rsidR="00217354" w:rsidRPr="00217354">
        <w:rPr>
          <w:rFonts w:ascii="Times New Roman" w:hAnsi="Times New Roman" w:cs="Times New Roman"/>
          <w:lang w:val="en-US"/>
        </w:rPr>
        <w:t>. Social responsibility of the innovator. The role of the innovator's personality in the process</w:t>
      </w:r>
      <w:r w:rsidR="00D762D3" w:rsidRPr="00D762D3">
        <w:rPr>
          <w:rFonts w:ascii="Times New Roman" w:hAnsi="Times New Roman" w:cs="Times New Roman"/>
          <w:lang w:val="en-US"/>
        </w:rPr>
        <w:t xml:space="preserve"> </w:t>
      </w:r>
      <w:r w:rsidR="00217354" w:rsidRPr="00D762D3">
        <w:rPr>
          <w:rFonts w:ascii="Times New Roman" w:hAnsi="Times New Roman" w:cs="Times New Roman"/>
          <w:lang w:val="en-US"/>
        </w:rPr>
        <w:t>of ensuring social responsibility.</w:t>
      </w:r>
    </w:p>
    <w:sectPr w:rsidR="00217354" w:rsidRPr="00427412" w:rsidSect="00217354">
      <w:pgSz w:w="11906" w:h="16838"/>
      <w:pgMar w:top="796" w:right="82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characterSpacingControl w:val="doNotCompress"/>
  <w:compat/>
  <w:rsids>
    <w:rsidRoot w:val="00217354"/>
    <w:rsid w:val="00001EE9"/>
    <w:rsid w:val="00191ECC"/>
    <w:rsid w:val="00217354"/>
    <w:rsid w:val="00427412"/>
    <w:rsid w:val="00855DC2"/>
    <w:rsid w:val="009F507F"/>
    <w:rsid w:val="00BE466C"/>
    <w:rsid w:val="00D762D3"/>
    <w:rsid w:val="00E84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Samunenkova</dc:creator>
  <cp:keywords/>
  <dc:description/>
  <cp:lastModifiedBy>Ivanovana</cp:lastModifiedBy>
  <cp:revision>6</cp:revision>
  <dcterms:created xsi:type="dcterms:W3CDTF">2026-01-11T20:37:00Z</dcterms:created>
  <dcterms:modified xsi:type="dcterms:W3CDTF">2026-02-08T14:53:00Z</dcterms:modified>
</cp:coreProperties>
</file>