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DCE91" w14:textId="77777777" w:rsidR="00E846AF" w:rsidRPr="000D4702" w:rsidRDefault="00E846AF" w:rsidP="00E846AF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0D4702">
        <w:rPr>
          <w:b/>
          <w:sz w:val="28"/>
          <w:szCs w:val="28"/>
        </w:rPr>
        <w:t>Перечень вопросов для подготовки к зачёту</w:t>
      </w:r>
    </w:p>
    <w:p w14:paraId="0CAA4F3F" w14:textId="77777777" w:rsidR="000D4702" w:rsidRPr="000D4702" w:rsidRDefault="00E846AF" w:rsidP="00E846AF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0D4702">
        <w:rPr>
          <w:b/>
          <w:sz w:val="28"/>
          <w:szCs w:val="28"/>
        </w:rPr>
        <w:t xml:space="preserve">по дисциплине </w:t>
      </w:r>
    </w:p>
    <w:p w14:paraId="7CAECAB3" w14:textId="77777777" w:rsidR="00E846AF" w:rsidRDefault="00E846AF" w:rsidP="00E846AF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D44964">
        <w:rPr>
          <w:b/>
          <w:sz w:val="28"/>
          <w:szCs w:val="28"/>
        </w:rPr>
        <w:t>«</w:t>
      </w:r>
      <w:r w:rsidR="00D44964" w:rsidRPr="00D44964">
        <w:rPr>
          <w:b/>
          <w:sz w:val="28"/>
          <w:szCs w:val="28"/>
        </w:rPr>
        <w:t>Кризисоустойчивое</w:t>
      </w:r>
      <w:r w:rsidR="00D44964">
        <w:rPr>
          <w:b/>
          <w:sz w:val="28"/>
          <w:szCs w:val="28"/>
        </w:rPr>
        <w:t xml:space="preserve"> </w:t>
      </w:r>
      <w:r w:rsidR="00D44964" w:rsidRPr="00D44964">
        <w:rPr>
          <w:b/>
          <w:sz w:val="28"/>
          <w:szCs w:val="28"/>
        </w:rPr>
        <w:t>корпоративное управление</w:t>
      </w:r>
      <w:r w:rsidRPr="00D44964">
        <w:rPr>
          <w:b/>
          <w:sz w:val="28"/>
          <w:szCs w:val="28"/>
        </w:rPr>
        <w:t>»</w:t>
      </w:r>
    </w:p>
    <w:p w14:paraId="58A31DD0" w14:textId="77777777" w:rsidR="00F5588A" w:rsidRDefault="00F5588A" w:rsidP="00E846AF">
      <w:pPr>
        <w:spacing w:line="276" w:lineRule="auto"/>
        <w:ind w:firstLine="0"/>
        <w:jc w:val="center"/>
        <w:rPr>
          <w:b/>
          <w:sz w:val="28"/>
          <w:szCs w:val="28"/>
        </w:rPr>
      </w:pPr>
    </w:p>
    <w:p w14:paraId="1556153A" w14:textId="5625369B" w:rsidR="00F5588A" w:rsidRPr="00F5588A" w:rsidRDefault="00F5588A" w:rsidP="00E846AF">
      <w:pPr>
        <w:spacing w:line="276" w:lineRule="auto"/>
        <w:ind w:firstLine="0"/>
        <w:jc w:val="center"/>
        <w:rPr>
          <w:i/>
          <w:sz w:val="28"/>
          <w:szCs w:val="28"/>
        </w:rPr>
      </w:pPr>
      <w:r w:rsidRPr="00F5588A">
        <w:rPr>
          <w:i/>
          <w:sz w:val="28"/>
          <w:szCs w:val="28"/>
        </w:rPr>
        <w:t>весенн</w:t>
      </w:r>
      <w:r w:rsidR="007F06EC">
        <w:rPr>
          <w:i/>
          <w:sz w:val="28"/>
          <w:szCs w:val="28"/>
        </w:rPr>
        <w:t>ий</w:t>
      </w:r>
      <w:r>
        <w:rPr>
          <w:i/>
          <w:sz w:val="28"/>
          <w:szCs w:val="28"/>
        </w:rPr>
        <w:t xml:space="preserve"> </w:t>
      </w:r>
      <w:r w:rsidRPr="00F5588A">
        <w:rPr>
          <w:i/>
          <w:sz w:val="28"/>
          <w:szCs w:val="28"/>
        </w:rPr>
        <w:t>семестр 2025</w:t>
      </w:r>
      <w:r w:rsidR="00D03955">
        <w:rPr>
          <w:i/>
          <w:sz w:val="28"/>
          <w:szCs w:val="28"/>
        </w:rPr>
        <w:t>‒2026 учебного</w:t>
      </w:r>
      <w:r w:rsidRPr="00F5588A">
        <w:rPr>
          <w:i/>
          <w:sz w:val="28"/>
          <w:szCs w:val="28"/>
        </w:rPr>
        <w:t xml:space="preserve"> года</w:t>
      </w:r>
      <w:r w:rsidR="00D03955">
        <w:rPr>
          <w:i/>
          <w:sz w:val="28"/>
          <w:szCs w:val="28"/>
        </w:rPr>
        <w:t xml:space="preserve"> </w:t>
      </w:r>
    </w:p>
    <w:p w14:paraId="2279125C" w14:textId="77777777" w:rsidR="00E846AF" w:rsidRPr="000D4702" w:rsidRDefault="00E846AF" w:rsidP="00E846AF">
      <w:pPr>
        <w:spacing w:line="276" w:lineRule="auto"/>
        <w:ind w:firstLine="0"/>
        <w:rPr>
          <w:i/>
          <w:sz w:val="28"/>
          <w:szCs w:val="28"/>
        </w:rPr>
      </w:pPr>
    </w:p>
    <w:p w14:paraId="19C2276B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Современные модели антикризисного управления корпорации. Подходы к трактовке понятия. Взаимосвязь и различия «инцидента» и «кризиса». </w:t>
      </w:r>
    </w:p>
    <w:p w14:paraId="486EFF19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Кризисный менеджмент (управление в процессе кризиса) и менеджмент проблем. </w:t>
      </w:r>
    </w:p>
    <w:p w14:paraId="653D4A01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Менеджмент непрерывности бизнеса/деятельности (МНБ/Д) и классическое антикризисное управление. Связь МНБ/Д с другими системами менеджмента корпорации.</w:t>
      </w:r>
    </w:p>
    <w:p w14:paraId="7B4D0617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Корпоративное управление и менеджмент. Агентская проблема. Особенности кризисов, вызванных агентской проблемой и информационной ассиметрией при управлении корпорациями. </w:t>
      </w:r>
    </w:p>
    <w:p w14:paraId="54EF989D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Основные источники и формы регулирования корпоративной сферы.</w:t>
      </w:r>
    </w:p>
    <w:p w14:paraId="06BEAD69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Дело «Энрон» как пример кризиса корпоративного управления США и закон Сарбейнза-Оксли как реакция государственного управления на него. </w:t>
      </w:r>
    </w:p>
    <w:p w14:paraId="5C0F379C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Модель лучших практик  корпоративного управления ОЭСР.</w:t>
      </w:r>
    </w:p>
    <w:p w14:paraId="4ED54ACA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Государственные и частные регуляторы (организации) сферы корпоративного управления России.</w:t>
      </w:r>
    </w:p>
    <w:p w14:paraId="67A30F88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Банк России (ЦБ РФ) как регулятор сферы корпоративного управления в РФ. </w:t>
      </w:r>
    </w:p>
    <w:p w14:paraId="7597C0AD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Кодекс корпоративного управления РФ: структура и содержание. </w:t>
      </w:r>
    </w:p>
    <w:p w14:paraId="59C798BE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Совет директоров в системе антикризисного корпоративного управления. Принципы формирования. Основные комитеты. </w:t>
      </w:r>
    </w:p>
    <w:p w14:paraId="593BA071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Институт независимых (профессиональных) директоров как инструмент профилактики кризисов корпоративного управления в РФ. </w:t>
      </w:r>
    </w:p>
    <w:p w14:paraId="5F86ECB6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Органы, осуществляющие внутренний корпоративный контроль.</w:t>
      </w:r>
    </w:p>
    <w:p w14:paraId="5633DDE7" w14:textId="77777777" w:rsidR="002F72B0" w:rsidRPr="00F5588A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trike/>
          <w:sz w:val="28"/>
          <w:szCs w:val="28"/>
        </w:rPr>
      </w:pPr>
      <w:r w:rsidRPr="00F5588A">
        <w:rPr>
          <w:rFonts w:ascii="Times New Roman" w:hAnsi="Times New Roman"/>
          <w:strike/>
          <w:sz w:val="28"/>
          <w:szCs w:val="28"/>
        </w:rPr>
        <w:t>Система комплайенс-контроля в корпорации. </w:t>
      </w:r>
    </w:p>
    <w:p w14:paraId="1ED4D451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«Экстраординарные» сделки как институт антикризисного корпоративного управления. </w:t>
      </w:r>
    </w:p>
    <w:p w14:paraId="65E1E264" w14:textId="77777777" w:rsidR="002F72B0" w:rsidRPr="00F5588A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trike/>
          <w:sz w:val="28"/>
          <w:szCs w:val="28"/>
        </w:rPr>
      </w:pPr>
      <w:r w:rsidRPr="00F5588A">
        <w:rPr>
          <w:rFonts w:ascii="Times New Roman" w:hAnsi="Times New Roman"/>
          <w:strike/>
          <w:sz w:val="28"/>
          <w:szCs w:val="28"/>
        </w:rPr>
        <w:t>Обеспечение публичности компаний в целях выявления сигналов кризиса:  требования и лучшие практики раскрытия информации. </w:t>
      </w:r>
    </w:p>
    <w:p w14:paraId="25B714A9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Ответственность в корпорации: виды и условия. </w:t>
      </w:r>
    </w:p>
    <w:p w14:paraId="7BA0544F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Корпорация как источник кризисов для общества: модель международного стандарта ИСО 26000/ ГОСТ Р ИСО 26000.</w:t>
      </w:r>
    </w:p>
    <w:p w14:paraId="50CF4E63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Оценка зрелости корпоративного управления. </w:t>
      </w:r>
    </w:p>
    <w:p w14:paraId="3BFF1730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lastRenderedPageBreak/>
        <w:t>Стандартизация в сфере кризисного менеджмента. Обзор основных нормативно-методических документов (ГОСТ Р (НСС), МС ИСО).</w:t>
      </w:r>
    </w:p>
    <w:p w14:paraId="44296381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Структура и содержание ГОСТ Р 53647.9 "Менеджмент непрерывности бизнеса Управление организацией в условиях кризиса". Основные категории, принципы и инструменты. </w:t>
      </w:r>
    </w:p>
    <w:p w14:paraId="02DB2841" w14:textId="77777777" w:rsidR="002F72B0" w:rsidRPr="00F5588A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trike/>
          <w:sz w:val="28"/>
          <w:szCs w:val="28"/>
        </w:rPr>
      </w:pPr>
      <w:r w:rsidRPr="00F5588A">
        <w:rPr>
          <w:rFonts w:ascii="Times New Roman" w:hAnsi="Times New Roman"/>
          <w:strike/>
          <w:sz w:val="28"/>
          <w:szCs w:val="28"/>
        </w:rPr>
        <w:t>Деятельность команды менеджмента в условиях кризиса. </w:t>
      </w:r>
    </w:p>
    <w:p w14:paraId="2CA3F7AB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Руководящие указания по управлению организацией в условиях кризиса на основе ГОСТ Р 53647.9-2013. Причины «скрытых ошибок», вызывающих кризис/снижающих кризисоустойчивость. Характеристики «готовой к кризису организации».</w:t>
      </w:r>
    </w:p>
    <w:p w14:paraId="29611B7D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Виды «кризисных учений». </w:t>
      </w:r>
    </w:p>
    <w:p w14:paraId="0D685604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Информационный обмен в условиях кризиса. Техники создания ситуационной осведомлённости. Постоянный цикл опроса и факторизация. </w:t>
      </w:r>
    </w:p>
    <w:p w14:paraId="76B8957E" w14:textId="77777777" w:rsidR="002F72B0" w:rsidRPr="00F5588A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trike/>
          <w:sz w:val="28"/>
          <w:szCs w:val="28"/>
        </w:rPr>
      </w:pPr>
      <w:r w:rsidRPr="00F5588A">
        <w:rPr>
          <w:rFonts w:ascii="Times New Roman" w:hAnsi="Times New Roman"/>
          <w:strike/>
          <w:sz w:val="28"/>
          <w:szCs w:val="28"/>
        </w:rPr>
        <w:t>Уровни вовлечённости причастных сторон в стратегию обмена информацией в условиях кризиса. </w:t>
      </w:r>
    </w:p>
    <w:p w14:paraId="224BEBE6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Создание и поддержание деятельности ситуационных кризисных центров в бизнесе и государственной сфере (госкорпораций и госкомпаний).</w:t>
      </w:r>
    </w:p>
    <w:p w14:paraId="55A5AA66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Достижение кризисоустойчивости за счёт "правильного менеджмента". Состав модели "Инструменты управления" международной консалтинговой компании "Бэйн" (по отчётам 2017 и 2023 годов).</w:t>
      </w:r>
    </w:p>
    <w:p w14:paraId="4F86EEB5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«Выход из кризиса» по  У. Э. Деминг</w:t>
      </w:r>
      <w:r w:rsidR="00F5588A">
        <w:rPr>
          <w:rFonts w:ascii="Times New Roman" w:hAnsi="Times New Roman"/>
          <w:sz w:val="28"/>
          <w:szCs w:val="28"/>
        </w:rPr>
        <w:t>у</w:t>
      </w:r>
      <w:r w:rsidRPr="006D681D">
        <w:rPr>
          <w:rFonts w:ascii="Times New Roman" w:hAnsi="Times New Roman"/>
          <w:sz w:val="28"/>
          <w:szCs w:val="28"/>
        </w:rPr>
        <w:t>. 14 принципов. Цикл Шухарта-Деминга. Три постулата. «Смертельные болезни» корпораций  и пр.</w:t>
      </w:r>
    </w:p>
    <w:p w14:paraId="068085ED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Качественное управление по-японски: модель премия Деминга  JUSE.</w:t>
      </w:r>
    </w:p>
    <w:p w14:paraId="0B9E855B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Программы совершенства М. Болдриджа Национального института стандартов и технологий  (NIST) США.</w:t>
      </w:r>
    </w:p>
    <w:p w14:paraId="5B6EA6A2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 xml:space="preserve">Модель </w:t>
      </w:r>
      <w:r>
        <w:rPr>
          <w:rFonts w:ascii="Times New Roman" w:hAnsi="Times New Roman"/>
          <w:sz w:val="28"/>
          <w:szCs w:val="28"/>
        </w:rPr>
        <w:t>«</w:t>
      </w:r>
      <w:r w:rsidRPr="006D681D">
        <w:rPr>
          <w:rFonts w:ascii="Times New Roman" w:hAnsi="Times New Roman"/>
          <w:sz w:val="28"/>
          <w:szCs w:val="28"/>
        </w:rPr>
        <w:t>Совершенство</w:t>
      </w:r>
      <w:r>
        <w:rPr>
          <w:rFonts w:ascii="Times New Roman" w:hAnsi="Times New Roman"/>
          <w:sz w:val="28"/>
          <w:szCs w:val="28"/>
        </w:rPr>
        <w:t>»</w:t>
      </w:r>
      <w:r w:rsidRPr="006D681D">
        <w:rPr>
          <w:rFonts w:ascii="Times New Roman" w:hAnsi="Times New Roman"/>
          <w:sz w:val="28"/>
          <w:szCs w:val="28"/>
        </w:rPr>
        <w:t xml:space="preserve"> Европейского фонда управления качеством (EFQM). </w:t>
      </w:r>
    </w:p>
    <w:p w14:paraId="3EFB85FE" w14:textId="77777777" w:rsidR="002F72B0" w:rsidRPr="00F5588A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trike/>
          <w:sz w:val="28"/>
          <w:szCs w:val="28"/>
        </w:rPr>
      </w:pPr>
      <w:r w:rsidRPr="00F5588A">
        <w:rPr>
          <w:rFonts w:ascii="Times New Roman" w:hAnsi="Times New Roman"/>
          <w:strike/>
          <w:sz w:val="28"/>
          <w:szCs w:val="28"/>
        </w:rPr>
        <w:t xml:space="preserve">Модель «CAF» как общая схема оценки качества менеджмента организаций государственного сектора. </w:t>
      </w:r>
    </w:p>
    <w:p w14:paraId="525045C0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 xml:space="preserve">TQM </w:t>
      </w:r>
      <w:r>
        <w:rPr>
          <w:rFonts w:ascii="Times New Roman" w:hAnsi="Times New Roman"/>
          <w:sz w:val="28"/>
          <w:szCs w:val="28"/>
        </w:rPr>
        <w:t>—</w:t>
      </w:r>
      <w:r w:rsidRPr="006D681D">
        <w:rPr>
          <w:rFonts w:ascii="Times New Roman" w:hAnsi="Times New Roman"/>
          <w:sz w:val="28"/>
          <w:szCs w:val="28"/>
        </w:rPr>
        <w:t xml:space="preserve"> концепция Всеобщего управления качеством. </w:t>
      </w:r>
    </w:p>
    <w:p w14:paraId="6C90C6D7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Системы менеджмента качества (СМК) на основе стандартов ИСО   Обзор серий 9000, 10000.</w:t>
      </w:r>
    </w:p>
    <w:p w14:paraId="09291C1F" w14:textId="77777777" w:rsidR="002F72B0" w:rsidRPr="00F5588A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trike/>
          <w:sz w:val="28"/>
          <w:szCs w:val="28"/>
        </w:rPr>
      </w:pPr>
      <w:r w:rsidRPr="00F5588A">
        <w:rPr>
          <w:rFonts w:ascii="Times New Roman" w:hAnsi="Times New Roman"/>
          <w:strike/>
          <w:sz w:val="28"/>
          <w:szCs w:val="28"/>
        </w:rPr>
        <w:t>Инструменты статистического контроля  для предупреждения кризисов качества продукции по К. Исикаве. Контрольные карты. Контрольные листки. Диаграмма Исикавы  и стратификация 5М (6М). Графики Парето.  Гистограммы.   Стратификация.  Диаграммы разброса.</w:t>
      </w:r>
    </w:p>
    <w:p w14:paraId="0928880A" w14:textId="77777777" w:rsidR="002F72B0" w:rsidRPr="006D681D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lastRenderedPageBreak/>
        <w:t>Бережливые технологии как стратегия укрепления «кризисного иммунитета»</w:t>
      </w:r>
      <w:r w:rsidR="00F5588A">
        <w:rPr>
          <w:rFonts w:ascii="Times New Roman" w:hAnsi="Times New Roman"/>
          <w:sz w:val="28"/>
          <w:szCs w:val="28"/>
        </w:rPr>
        <w:t>.</w:t>
      </w:r>
      <w:r w:rsidRPr="006D681D">
        <w:rPr>
          <w:rFonts w:ascii="Times New Roman" w:hAnsi="Times New Roman"/>
          <w:sz w:val="28"/>
          <w:szCs w:val="28"/>
        </w:rPr>
        <w:t xml:space="preserve"> Основные категории и принципы (Вытягивающее производство, немаваси, хансей и др.).</w:t>
      </w:r>
    </w:p>
    <w:p w14:paraId="72F792A4" w14:textId="77777777" w:rsidR="002F72B0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Бережливые технологии как стратегия укрепления «кризисного иммунитета» Основные инструменты. Идентификация потерь. </w:t>
      </w:r>
    </w:p>
    <w:p w14:paraId="1EC18176" w14:textId="77777777" w:rsidR="002F72B0" w:rsidRPr="00F5588A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trike/>
          <w:sz w:val="28"/>
          <w:szCs w:val="28"/>
        </w:rPr>
      </w:pPr>
      <w:r w:rsidRPr="00F5588A">
        <w:rPr>
          <w:rFonts w:ascii="Times New Roman" w:hAnsi="Times New Roman"/>
          <w:strike/>
          <w:sz w:val="28"/>
          <w:szCs w:val="28"/>
        </w:rPr>
        <w:t xml:space="preserve">Работа с операционными кризисами. Реинжиниринг бизнес-процессов. Классическая модель М. Хаммера и Дж. Чампи.  </w:t>
      </w:r>
    </w:p>
    <w:p w14:paraId="0090444B" w14:textId="77777777" w:rsidR="002F72B0" w:rsidRPr="00F5588A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trike/>
          <w:sz w:val="28"/>
          <w:szCs w:val="28"/>
        </w:rPr>
      </w:pPr>
      <w:r w:rsidRPr="00F5588A">
        <w:rPr>
          <w:rFonts w:ascii="Times New Roman" w:hAnsi="Times New Roman"/>
          <w:strike/>
          <w:sz w:val="28"/>
          <w:szCs w:val="28"/>
        </w:rPr>
        <w:t>Основы концепции «Шесть сигм». Структура ролей участников проектов и базовый портфель статистических инструментов.</w:t>
      </w:r>
    </w:p>
    <w:p w14:paraId="39989C1B" w14:textId="77777777" w:rsidR="002F72B0" w:rsidRPr="00F5588A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trike/>
          <w:sz w:val="28"/>
          <w:szCs w:val="28"/>
        </w:rPr>
      </w:pPr>
      <w:r w:rsidRPr="00F5588A">
        <w:rPr>
          <w:rFonts w:ascii="Times New Roman" w:hAnsi="Times New Roman"/>
          <w:strike/>
          <w:sz w:val="28"/>
          <w:szCs w:val="28"/>
        </w:rPr>
        <w:t>«Бережливые шесть сигм» как гибридная методология. Обновлённое содержание этапов цикла DMAIC.</w:t>
      </w:r>
    </w:p>
    <w:p w14:paraId="2EA98DC1" w14:textId="77777777" w:rsidR="002F72B0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D681D">
        <w:rPr>
          <w:rFonts w:ascii="Times New Roman" w:hAnsi="Times New Roman"/>
          <w:sz w:val="28"/>
          <w:szCs w:val="28"/>
        </w:rPr>
        <w:t>Самообучающиеся организационные системы и кризис. Рекомендации по управлению знаниями в организации.</w:t>
      </w:r>
    </w:p>
    <w:p w14:paraId="39AFF12B" w14:textId="77777777" w:rsidR="005F7A19" w:rsidRDefault="002F72B0" w:rsidP="00050AC1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F72B0">
        <w:rPr>
          <w:rFonts w:ascii="Times New Roman" w:hAnsi="Times New Roman"/>
          <w:sz w:val="28"/>
          <w:szCs w:val="28"/>
          <w:lang w:val="en-US"/>
        </w:rPr>
        <w:t>ESG</w:t>
      </w:r>
      <w:r w:rsidRPr="002F72B0">
        <w:rPr>
          <w:rFonts w:ascii="Times New Roman" w:hAnsi="Times New Roman"/>
          <w:sz w:val="28"/>
          <w:szCs w:val="28"/>
        </w:rPr>
        <w:t>-концепция и кризисоустойчивость корпорации.</w:t>
      </w:r>
    </w:p>
    <w:p w14:paraId="2DC3C01C" w14:textId="77777777" w:rsidR="00F5588A" w:rsidRDefault="00F5588A" w:rsidP="00F5588A">
      <w:pPr>
        <w:rPr>
          <w:sz w:val="28"/>
          <w:szCs w:val="28"/>
        </w:rPr>
      </w:pPr>
    </w:p>
    <w:p w14:paraId="49ADC292" w14:textId="77777777" w:rsidR="00F5588A" w:rsidRPr="00F5588A" w:rsidRDefault="00F5588A" w:rsidP="00F5588A">
      <w:pPr>
        <w:rPr>
          <w:b/>
          <w:i/>
          <w:sz w:val="28"/>
          <w:szCs w:val="28"/>
        </w:rPr>
      </w:pPr>
      <w:r w:rsidRPr="00F5588A">
        <w:rPr>
          <w:b/>
          <w:i/>
          <w:sz w:val="28"/>
          <w:szCs w:val="28"/>
        </w:rPr>
        <w:t>Примечание: зачёркнутый текст означает, что вопрос снят.</w:t>
      </w:r>
    </w:p>
    <w:sectPr w:rsidR="00F5588A" w:rsidRPr="00F5588A" w:rsidSect="00916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E29D9"/>
    <w:multiLevelType w:val="hybridMultilevel"/>
    <w:tmpl w:val="E5C0AA96"/>
    <w:lvl w:ilvl="0" w:tplc="0419000F">
      <w:start w:val="1"/>
      <w:numFmt w:val="decimal"/>
      <w:lvlText w:val="%1.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" w15:restartNumberingAfterBreak="0">
    <w:nsid w:val="428C3B21"/>
    <w:multiLevelType w:val="hybridMultilevel"/>
    <w:tmpl w:val="FEBC2022"/>
    <w:lvl w:ilvl="0" w:tplc="DA5CA802">
      <w:start w:val="1"/>
      <w:numFmt w:val="decimal"/>
      <w:lvlText w:val="%1."/>
      <w:lvlJc w:val="left"/>
      <w:pPr>
        <w:ind w:left="79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num w:numId="1" w16cid:durableId="645742510">
    <w:abstractNumId w:val="0"/>
  </w:num>
  <w:num w:numId="2" w16cid:durableId="1291320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AF"/>
    <w:rsid w:val="00050AC1"/>
    <w:rsid w:val="000D4702"/>
    <w:rsid w:val="00181B50"/>
    <w:rsid w:val="00217545"/>
    <w:rsid w:val="00257460"/>
    <w:rsid w:val="002F72B0"/>
    <w:rsid w:val="00347780"/>
    <w:rsid w:val="003D4352"/>
    <w:rsid w:val="003D4F48"/>
    <w:rsid w:val="005419E2"/>
    <w:rsid w:val="005F7A19"/>
    <w:rsid w:val="006172D4"/>
    <w:rsid w:val="007A623A"/>
    <w:rsid w:val="007F06EC"/>
    <w:rsid w:val="00827450"/>
    <w:rsid w:val="00881A33"/>
    <w:rsid w:val="009166FE"/>
    <w:rsid w:val="009B6968"/>
    <w:rsid w:val="00A57759"/>
    <w:rsid w:val="00BC2971"/>
    <w:rsid w:val="00C12863"/>
    <w:rsid w:val="00D03955"/>
    <w:rsid w:val="00D44964"/>
    <w:rsid w:val="00E846AF"/>
    <w:rsid w:val="00E96FA4"/>
    <w:rsid w:val="00EA339E"/>
    <w:rsid w:val="00EB4652"/>
    <w:rsid w:val="00F5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311CE"/>
  <w15:docId w15:val="{A30B3184-666F-4546-B800-7EA4D9DD2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46AF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писок - нумерованный абзац,ПАРАГРАФ,Маркер,Тема,2 Спс точк,Второй абзац списка,List Paragraph,Абзац списка основной,Абзац списка2,Раздел 1.1.1."/>
    <w:basedOn w:val="a"/>
    <w:link w:val="a4"/>
    <w:uiPriority w:val="34"/>
    <w:qFormat/>
    <w:rsid w:val="00E846AF"/>
    <w:pPr>
      <w:widowControl/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0D4702"/>
    <w:pPr>
      <w:widowControl/>
      <w:spacing w:before="100" w:beforeAutospacing="1" w:after="100" w:afterAutospacing="1"/>
      <w:ind w:firstLine="0"/>
      <w:jc w:val="left"/>
    </w:pPr>
  </w:style>
  <w:style w:type="character" w:customStyle="1" w:styleId="a4">
    <w:name w:val="Абзац списка Знак"/>
    <w:aliases w:val="Список - нумерованный абзац Знак,ПАРАГРАФ Знак,Маркер Знак,Тема Знак,2 Спс точк Знак,Второй абзац списка Знак,List Paragraph Знак,Абзац списка основной Знак,Абзац списка2 Знак,Раздел 1.1.1. Знак"/>
    <w:basedOn w:val="a0"/>
    <w:link w:val="a3"/>
    <w:locked/>
    <w:rsid w:val="00D4496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5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694</Words>
  <Characters>3960</Characters>
  <Application>Microsoft Office Word</Application>
  <DocSecurity>0</DocSecurity>
  <Lines>33</Lines>
  <Paragraphs>9</Paragraphs>
  <ScaleCrop>false</ScaleCrop>
  <Company>HP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Orient</dc:creator>
  <cp:lastModifiedBy>NA</cp:lastModifiedBy>
  <cp:revision>4</cp:revision>
  <dcterms:created xsi:type="dcterms:W3CDTF">2026-05-01T04:22:00Z</dcterms:created>
  <dcterms:modified xsi:type="dcterms:W3CDTF">2026-05-01T04:23:00Z</dcterms:modified>
</cp:coreProperties>
</file>