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rFonts w:ascii="Times New Roman" w:hAnsi="Times New Roman" w:cs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Картография русского ума</w:t>
      </w:r>
      <w:r>
        <w:rPr>
          <w:i w:val="0"/>
          <w:iCs w:val="0"/>
          <w:sz w:val="28"/>
          <w:szCs w:val="28"/>
        </w:rPr>
      </w:r>
      <w:r>
        <w:rPr>
          <w:rFonts w:ascii="Times New Roman" w:hAnsi="Times New Roman" w:cs="Times New Roman"/>
          <w:b/>
          <w:bCs w:val="0"/>
          <w:i w:val="0"/>
          <w:sz w:val="28"/>
          <w:szCs w:val="28"/>
        </w:rPr>
      </w:r>
    </w:p>
    <w:p>
      <w:pPr>
        <w:pBdr/>
        <w:spacing/>
        <w:ind/>
        <w:rPr/>
      </w:pPr>
      <w:r>
        <w:rPr>
          <w:rFonts w:ascii="Times New Roman" w:hAnsi="Times New Roman" w:cs="Times New Roman"/>
          <w:b/>
          <w:i/>
          <w:lang w:val="ru-RU"/>
        </w:rPr>
      </w:r>
      <w:r>
        <w:rPr>
          <w:rFonts w:ascii="Times New Roman" w:hAnsi="Times New Roman" w:cs="Times New Roman"/>
          <w:b/>
          <w:i/>
        </w:rPr>
        <w:t xml:space="preserve">Гиренок</w:t>
      </w:r>
      <w:r>
        <w:rPr>
          <w:rFonts w:ascii="Times New Roman" w:hAnsi="Times New Roman" w:cs="Times New Roman"/>
          <w:b/>
          <w:i/>
        </w:rPr>
        <w:t xml:space="preserve"> Ф.И.,</w:t>
      </w:r>
      <w:r/>
    </w:p>
    <w:p>
      <w:pPr>
        <w:pBdr/>
        <w:spacing/>
        <w:ind/>
        <w:rPr>
          <w:highlight w:val="none"/>
        </w:rPr>
      </w:pPr>
      <w:r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  <w:r>
        <w:rPr>
          <w:highlight w:val="none"/>
        </w:rPr>
      </w:r>
    </w:p>
    <w:p>
      <w:pPr>
        <w:pBdr/>
        <w:spacing/>
        <w:ind/>
        <w:jc w:val="center"/>
        <w:rPr/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зачету:</w:t>
      </w:r>
      <w:r>
        <w:rPr>
          <w:sz w:val="24"/>
          <w:szCs w:val="24"/>
        </w:rPr>
        <w:t xml:space="preserve"> </w:t>
      </w:r>
      <w:r/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Проблема идентичности.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слепых бросков.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Мы и они как философские категории.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Как возникает социальный человек?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Что такое живое знание?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Роль зеркала в познании сущего.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Чем Россия отличается от Запада?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Философия Н. Данилевского.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Философия К. Леонтьева.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Философия К. Аксакова.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Философия И. Аксакова.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Фихте и Шишков о нации.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Пелагий и Августин: проблема культурного кода.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Евразийский путь выхода из кризиса.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Новое Средневековье.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 w:after="200"/>
        <w:ind w:hanging="357" w:left="7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Новый социализм.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pBdr/>
      <w:spacing/>
      <w:ind/>
    </w:pPr>
  </w:style>
  <w:style w:type="table" w:styleId="83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4" w:default="1">
    <w:name w:val="No List"/>
    <w:uiPriority w:val="99"/>
    <w:semiHidden/>
    <w:unhideWhenUsed/>
    <w:pPr>
      <w:pBdr/>
      <w:spacing/>
      <w:ind/>
    </w:pPr>
  </w:style>
  <w:style w:type="paragraph" w:styleId="835">
    <w:name w:val="No Spacing"/>
    <w:basedOn w:val="832"/>
    <w:uiPriority w:val="1"/>
    <w:qFormat/>
    <w:pPr>
      <w:pBdr/>
      <w:spacing w:after="0" w:line="240" w:lineRule="auto"/>
      <w:ind/>
    </w:pPr>
  </w:style>
  <w:style w:type="paragraph" w:styleId="836">
    <w:name w:val="List Paragraph"/>
    <w:basedOn w:val="832"/>
    <w:uiPriority w:val="34"/>
    <w:qFormat/>
    <w:pPr>
      <w:pBdr/>
      <w:spacing/>
      <w:ind w:left="720"/>
      <w:contextualSpacing w:val="true"/>
    </w:pPr>
  </w:style>
  <w:style w:type="character" w:styleId="837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2024-02-06T11:30:23Z</dcterms:modified>
</cp:coreProperties>
</file>