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A83" w14:textId="77777777" w:rsidR="00C854D1" w:rsidRDefault="00C854D1" w:rsidP="00C854D1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Академический английский (аннотирование, реферирование, перевод)</w:t>
      </w:r>
    </w:p>
    <w:p w14:paraId="3B055F80" w14:textId="77777777" w:rsidR="00C854D1" w:rsidRPr="00C854D1" w:rsidRDefault="00C854D1" w:rsidP="00C854D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854D1">
        <w:rPr>
          <w:rFonts w:ascii="Times New Roman" w:hAnsi="Times New Roman" w:cs="Times New Roman"/>
          <w:b/>
          <w:iCs/>
          <w:sz w:val="28"/>
          <w:szCs w:val="28"/>
        </w:rPr>
        <w:t xml:space="preserve">На зачет выносятся следующие основные темы: </w:t>
      </w:r>
    </w:p>
    <w:p w14:paraId="582D75E9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Теория языковой вариативности. Классификации функциональных стилей В. В. Виноградова.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Типы содержания в составе научного текста.</w:t>
      </w:r>
    </w:p>
    <w:p w14:paraId="63113F43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Классификация функций языка Р. Якобсона и ее применение в исследовании языка.</w:t>
      </w:r>
    </w:p>
    <w:p w14:paraId="27B4E274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Язык науки как семиологическая система и пути ее оптимизации.</w:t>
      </w:r>
    </w:p>
    <w:p w14:paraId="6160524E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Жанровые и регистровые разновидности научных текстов. Взаимодействие функций сообщения и воздействия в текстах различных специальностей: сопоставительный анализ.</w:t>
      </w:r>
    </w:p>
    <w:p w14:paraId="47427631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Теория дискурса и стадии ее становления.</w:t>
      </w:r>
    </w:p>
    <w:p w14:paraId="5BBD194E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Реферирование и аннотирование  научного текста. Предельные синтагматические последовательности.</w:t>
      </w:r>
    </w:p>
    <w:p w14:paraId="0080A792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Понятие «ключевых слов» и способы их выделения.</w:t>
      </w:r>
    </w:p>
    <w:p w14:paraId="62A94489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Лингвопрагматические особенности лексики, терминологии и построения научных текстов в составе дисциплин гуманитарного профиля.</w:t>
      </w:r>
    </w:p>
    <w:p w14:paraId="12B713F7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Дисциплинарные культуры и структуры знания.</w:t>
      </w:r>
    </w:p>
    <w:p w14:paraId="1485A1A8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Лексическая стратификация научного текста.</w:t>
      </w:r>
    </w:p>
    <w:p w14:paraId="659762FA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Понятие «взаимной переводимости» лексических единиц и его использование при переводе.</w:t>
      </w:r>
    </w:p>
    <w:p w14:paraId="7BBCEC74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Системные (лексические) и функциональные соответствия при переводе в соответствии с особенностями жанра академического дискурса;</w:t>
      </w:r>
    </w:p>
    <w:p w14:paraId="19C823F7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Поиск и критерии выбора переводных эквивалентов в параллельном и сопоставимом корпусе языковых данных;</w:t>
      </w:r>
    </w:p>
    <w:p w14:paraId="2E187E18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Научный язык в коммуникативном процессе. Метадиалект и идиолект.</w:t>
      </w:r>
    </w:p>
    <w:p w14:paraId="7CAA1D81" w14:textId="77777777" w:rsidR="00C854D1" w:rsidRPr="00C854D1" w:rsidRDefault="00C854D1" w:rsidP="00C854D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854D1">
        <w:rPr>
          <w:rFonts w:ascii="Times New Roman" w:hAnsi="Times New Roman" w:cs="Times New Roman"/>
          <w:iCs/>
          <w:sz w:val="28"/>
          <w:szCs w:val="28"/>
        </w:rPr>
        <w:t>Научная текстология и корпусная лингвистика.</w:t>
      </w:r>
    </w:p>
    <w:sectPr w:rsidR="00C854D1" w:rsidRPr="00C8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384"/>
    <w:multiLevelType w:val="hybridMultilevel"/>
    <w:tmpl w:val="56F4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4D1"/>
    <w:rsid w:val="00836AC0"/>
    <w:rsid w:val="00C854D1"/>
    <w:rsid w:val="00DA2A24"/>
    <w:rsid w:val="00E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A21"/>
  <w15:docId w15:val="{F8FBF122-1A0B-4F7B-81AB-FC39333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Яна Кудрявцева</cp:lastModifiedBy>
  <cp:revision>3</cp:revision>
  <dcterms:created xsi:type="dcterms:W3CDTF">2023-12-16T13:17:00Z</dcterms:created>
  <dcterms:modified xsi:type="dcterms:W3CDTF">2023-12-20T04:29:00Z</dcterms:modified>
</cp:coreProperties>
</file>