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7D4B7A" w:rsidRPr="002B2ACD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ACD">
        <w:rPr>
          <w:rFonts w:ascii="Times New Roman" w:hAnsi="Times New Roman" w:cs="Times New Roman"/>
          <w:sz w:val="24"/>
          <w:szCs w:val="24"/>
        </w:rPr>
        <w:t xml:space="preserve"> </w:t>
      </w:r>
      <w:r w:rsidRPr="002B2ACD">
        <w:rPr>
          <w:rFonts w:ascii="Times New Roman" w:hAnsi="Times New Roman" w:cs="Times New Roman"/>
          <w:iCs/>
          <w:sz w:val="24"/>
          <w:szCs w:val="24"/>
        </w:rPr>
        <w:t>факу</w:t>
      </w:r>
      <w:r w:rsidR="002B2ACD" w:rsidRPr="002B2ACD">
        <w:rPr>
          <w:rFonts w:ascii="Times New Roman" w:hAnsi="Times New Roman" w:cs="Times New Roman"/>
          <w:iCs/>
          <w:sz w:val="24"/>
          <w:szCs w:val="24"/>
        </w:rPr>
        <w:t>льтет</w:t>
      </w:r>
      <w:r w:rsidRPr="002B2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CD" w:rsidRPr="008C3964">
        <w:rPr>
          <w:rFonts w:ascii="Times New Roman" w:hAnsi="Times New Roman" w:cs="Times New Roman"/>
          <w:iCs/>
          <w:sz w:val="24"/>
          <w:szCs w:val="24"/>
        </w:rPr>
        <w:t>Почвоведения</w:t>
      </w:r>
    </w:p>
    <w:p w:rsidR="007D4B7A" w:rsidRPr="002B2ACD" w:rsidRDefault="007D4B7A" w:rsidP="00BE7F1E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Pr="00BE7F1E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7A" w:rsidRPr="00BE7F1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1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p w:rsidR="00F846D9" w:rsidRDefault="00384B88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4B88">
        <w:rPr>
          <w:rFonts w:ascii="Times New Roman" w:hAnsi="Times New Roman" w:cs="Times New Roman"/>
          <w:b/>
          <w:bCs/>
          <w:iCs/>
          <w:sz w:val="24"/>
          <w:szCs w:val="24"/>
        </w:rPr>
        <w:t>ESG и «зеленые» навыки профессионалов будущего</w:t>
      </w:r>
    </w:p>
    <w:p w:rsidR="00A472A1" w:rsidRPr="00B17B9A" w:rsidRDefault="00A472A1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3FF2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ACD" w:rsidRDefault="00457716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Межфакультетский учебный курс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  <w:proofErr w:type="spellStart"/>
      <w:r w:rsidRPr="004F370A">
        <w:rPr>
          <w:bCs/>
        </w:rPr>
        <w:t>Бакалавриат</w:t>
      </w:r>
      <w:proofErr w:type="spellEnd"/>
      <w:r w:rsidRPr="004F370A">
        <w:rPr>
          <w:bCs/>
        </w:rPr>
        <w:t xml:space="preserve"> и магистратура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</w:p>
    <w:p w:rsidR="004F370A" w:rsidRP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/>
          <w:bCs/>
        </w:rPr>
        <w:t>Форма обучения:</w:t>
      </w:r>
      <w:r>
        <w:rPr>
          <w:bCs/>
        </w:rPr>
        <w:t xml:space="preserve"> очная</w:t>
      </w:r>
    </w:p>
    <w:p w:rsidR="00457716" w:rsidRDefault="00457716" w:rsidP="002B2ACD">
      <w:pPr>
        <w:pStyle w:val="a5"/>
        <w:pBdr>
          <w:bottom w:val="single" w:sz="4" w:space="1" w:color="auto"/>
        </w:pBdr>
        <w:jc w:val="center"/>
      </w:pPr>
    </w:p>
    <w:p w:rsidR="000C6ADC" w:rsidRDefault="000C6ADC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Москва 20</w:t>
      </w:r>
      <w:r w:rsidR="002B2ACD">
        <w:rPr>
          <w:rFonts w:ascii="Times New Roman" w:hAnsi="Times New Roman" w:cs="Times New Roman"/>
          <w:sz w:val="24"/>
          <w:szCs w:val="24"/>
        </w:rPr>
        <w:t>2</w:t>
      </w:r>
      <w:r w:rsidR="00457716">
        <w:rPr>
          <w:rFonts w:ascii="Times New Roman" w:hAnsi="Times New Roman" w:cs="Times New Roman"/>
          <w:sz w:val="24"/>
          <w:szCs w:val="24"/>
        </w:rPr>
        <w:t>3</w:t>
      </w:r>
    </w:p>
    <w:p w:rsidR="007D4B7A" w:rsidRDefault="007D4B7A" w:rsidP="00614BAB">
      <w:pPr>
        <w:rPr>
          <w:rFonts w:ascii="Times New Roman" w:hAnsi="Times New Roman" w:cs="Times New Roman"/>
          <w:sz w:val="24"/>
          <w:szCs w:val="24"/>
        </w:rPr>
        <w:sectPr w:rsidR="007D4B7A" w:rsidSect="00CC5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7A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="0045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16" w:rsidRPr="00457716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:rsidR="00D43FF2" w:rsidRPr="00BE7F1E" w:rsidRDefault="00D43FF2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D43FF2">
        <w:rPr>
          <w:rFonts w:ascii="Times New Roman" w:hAnsi="Times New Roman" w:cs="Times New Roman"/>
          <w:sz w:val="24"/>
          <w:szCs w:val="24"/>
        </w:rPr>
        <w:t>2</w:t>
      </w:r>
      <w:r w:rsidR="00D43FF2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Входные тре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бования для освоения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>, предварительные условия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Pr="00D43FF2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нет</w:t>
      </w:r>
    </w:p>
    <w:p w:rsidR="00D43FF2" w:rsidRPr="00D43FF2" w:rsidRDefault="00D43FF2" w:rsidP="00C37F6A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61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933115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933115">
        <w:rPr>
          <w:rFonts w:ascii="Times New Roman" w:hAnsi="Times New Roman" w:cs="Times New Roman"/>
          <w:b/>
          <w:sz w:val="24"/>
          <w:szCs w:val="24"/>
        </w:rPr>
        <w:t>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соотнесенные с </w:t>
      </w:r>
      <w:r w:rsidR="00A942D6" w:rsidRPr="00951FE4">
        <w:rPr>
          <w:rFonts w:ascii="Times New Roman" w:hAnsi="Times New Roman" w:cs="Times New Roman"/>
          <w:b/>
          <w:sz w:val="24"/>
          <w:szCs w:val="24"/>
        </w:rPr>
        <w:t>требуе</w:t>
      </w:r>
      <w:r w:rsidR="00B17B9A" w:rsidRPr="00951FE4">
        <w:rPr>
          <w:rFonts w:ascii="Times New Roman" w:hAnsi="Times New Roman" w:cs="Times New Roman"/>
          <w:b/>
          <w:sz w:val="24"/>
          <w:szCs w:val="24"/>
        </w:rPr>
        <w:t>мыми компетенциями выпускников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</w:p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0"/>
        <w:gridCol w:w="3973"/>
        <w:gridCol w:w="3357"/>
      </w:tblGrid>
      <w:tr w:rsidR="008C3964" w:rsidRPr="002E2DAF" w:rsidTr="004F370A">
        <w:trPr>
          <w:jc w:val="center"/>
        </w:trPr>
        <w:tc>
          <w:tcPr>
            <w:tcW w:w="2240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973" w:type="dxa"/>
          </w:tcPr>
          <w:p w:rsidR="008C3964" w:rsidRPr="000D75A4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357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  <w:proofErr w:type="gramEnd"/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ями</w:t>
            </w: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 w:val="restart"/>
          </w:tcPr>
          <w:p w:rsidR="00457716" w:rsidRPr="00FF52B8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Б-УК-12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973" w:type="dxa"/>
          </w:tcPr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Б.УК-12.1.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ресурсов времени, этапов карьерного роста и требований рынка труда.</w:t>
            </w:r>
          </w:p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принципы планирования перспективных целей деятельности и умеет их достигать с учетом личных возможностей и ресурсов времени.</w:t>
            </w:r>
          </w:p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/>
          </w:tcPr>
          <w:p w:rsidR="00457716" w:rsidRPr="00FE52B8" w:rsidRDefault="00457716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57716" w:rsidRPr="00F36B1E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Б.УК-12.2.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 намеченные цели саморазвития на основе принципов образования в течение всей жизни.</w:t>
            </w:r>
          </w:p>
        </w:tc>
        <w:tc>
          <w:tcPr>
            <w:tcW w:w="3357" w:type="dxa"/>
          </w:tcPr>
          <w:p w:rsidR="00457716" w:rsidRPr="00457716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в</w:t>
            </w:r>
            <w:r w:rsidR="00457716" w:rsidRPr="0045771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>намеченны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 w:val="restart"/>
          </w:tcPr>
          <w:p w:rsidR="004F370A" w:rsidRPr="00FE52B8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М-УК-12.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3973" w:type="dxa"/>
          </w:tcPr>
          <w:p w:rsidR="004F370A" w:rsidRPr="00F36B1E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М.УК-12.1.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выявляет мотивы и стимулы для саморазвития, определяет </w:t>
            </w:r>
            <w:proofErr w:type="gramStart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реалистические цели</w:t>
            </w:r>
            <w:proofErr w:type="gramEnd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мотивы и стимулы для саморазвития,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реалистические цели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М.УК-12.2.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профессиональных особенностей и требований рынка планирует и реализует выбранную траекторию личностного и профессионального развития.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опыт самостоятельного планирования и реализации выбранной траектории личностного и профессионального 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М.УК-12.3.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3357" w:type="dxa"/>
          </w:tcPr>
          <w:p w:rsidR="004F370A" w:rsidRPr="004F370A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опыт эффективного использования времени и других ресурсов при решении поставленных задач. </w:t>
            </w:r>
          </w:p>
        </w:tc>
      </w:tr>
    </w:tbl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p w:rsidR="008C3964" w:rsidRPr="009112F8" w:rsidRDefault="008C3964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B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C51346">
        <w:rPr>
          <w:rFonts w:ascii="Times New Roman" w:hAnsi="Times New Roman" w:cs="Times New Roman"/>
          <w:sz w:val="24"/>
          <w:szCs w:val="24"/>
        </w:rPr>
        <w:t>1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9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17B9A">
        <w:rPr>
          <w:rFonts w:ascii="Times New Roman" w:hAnsi="Times New Roman" w:cs="Times New Roman"/>
          <w:sz w:val="24"/>
          <w:szCs w:val="24"/>
        </w:rPr>
        <w:t>.</w:t>
      </w:r>
      <w:r w:rsidR="00B17B9A" w:rsidRPr="00457716">
        <w:rPr>
          <w:rFonts w:ascii="Times New Roman" w:hAnsi="Times New Roman" w:cs="Times New Roman"/>
          <w:sz w:val="24"/>
          <w:szCs w:val="24"/>
        </w:rPr>
        <w:t xml:space="preserve">, </w:t>
      </w:r>
      <w:r w:rsidR="00B17B9A">
        <w:rPr>
          <w:rFonts w:ascii="Times New Roman" w:hAnsi="Times New Roman" w:cs="Times New Roman"/>
          <w:sz w:val="24"/>
          <w:szCs w:val="24"/>
        </w:rPr>
        <w:t xml:space="preserve">в том </w:t>
      </w:r>
      <w:r w:rsidR="008A241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57716">
        <w:rPr>
          <w:rFonts w:ascii="Times New Roman" w:hAnsi="Times New Roman" w:cs="Times New Roman"/>
          <w:sz w:val="24"/>
          <w:szCs w:val="24"/>
        </w:rPr>
        <w:t xml:space="preserve">24 </w:t>
      </w:r>
      <w:r w:rsidRPr="000C7F73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8A2417">
        <w:rPr>
          <w:rFonts w:ascii="Times New Roman" w:hAnsi="Times New Roman" w:cs="Times New Roman"/>
          <w:sz w:val="24"/>
          <w:szCs w:val="24"/>
        </w:rPr>
        <w:t xml:space="preserve">, </w:t>
      </w:r>
      <w:r w:rsidR="00457716">
        <w:rPr>
          <w:rFonts w:ascii="Times New Roman" w:hAnsi="Times New Roman" w:cs="Times New Roman"/>
          <w:sz w:val="24"/>
          <w:szCs w:val="24"/>
        </w:rPr>
        <w:t xml:space="preserve">12 </w:t>
      </w:r>
      <w:r w:rsidR="008A2417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0C7F73">
        <w:rPr>
          <w:rFonts w:ascii="Times New Roman" w:hAnsi="Times New Roman" w:cs="Times New Roman"/>
          <w:sz w:val="24"/>
          <w:szCs w:val="24"/>
        </w:rPr>
        <w:t xml:space="preserve"> на сам</w:t>
      </w:r>
      <w:r w:rsidR="00B17B9A">
        <w:rPr>
          <w:rFonts w:ascii="Times New Roman" w:hAnsi="Times New Roman" w:cs="Times New Roman"/>
          <w:sz w:val="24"/>
          <w:szCs w:val="24"/>
        </w:rPr>
        <w:t xml:space="preserve">остоятельную работу обучающихся. </w:t>
      </w:r>
      <w:r w:rsidRPr="000C7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9A" w:rsidRPr="000C7F73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:rsidR="007D4B7A" w:rsidRPr="003942AC" w:rsidRDefault="007D4B7A" w:rsidP="001C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очный.</w:t>
      </w:r>
    </w:p>
    <w:p w:rsidR="007D4B7A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  <w:sectPr w:rsidR="002B2ACD" w:rsidSect="002B2A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ACD" w:rsidRPr="00BE7F1E" w:rsidRDefault="007D4B7A" w:rsidP="00FC4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2ACD">
        <w:rPr>
          <w:rFonts w:ascii="Times New Roman" w:hAnsi="Times New Roman" w:cs="Times New Roman"/>
          <w:sz w:val="24"/>
          <w:szCs w:val="24"/>
        </w:rPr>
        <w:t xml:space="preserve">. </w:t>
      </w:r>
      <w:r w:rsidR="002B2ACD" w:rsidRPr="00951FE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структурированное по </w:t>
      </w:r>
      <w:r w:rsidR="009C563A">
        <w:rPr>
          <w:rFonts w:ascii="Times New Roman" w:hAnsi="Times New Roman" w:cs="Times New Roman"/>
          <w:b/>
          <w:sz w:val="24"/>
          <w:szCs w:val="24"/>
        </w:rPr>
        <w:t xml:space="preserve">разделам и </w:t>
      </w:r>
      <w:r w:rsidRPr="00951FE4">
        <w:rPr>
          <w:rFonts w:ascii="Times New Roman" w:hAnsi="Times New Roman" w:cs="Times New Roman"/>
          <w:b/>
          <w:sz w:val="24"/>
          <w:szCs w:val="24"/>
        </w:rPr>
        <w:t>темам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с указанием отведенного на них количества академических</w:t>
      </w:r>
      <w:r w:rsidR="00951FE4" w:rsidRPr="00951FE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и виды учебных занятий</w:t>
      </w:r>
      <w:r w:rsidR="00951FE4">
        <w:rPr>
          <w:rFonts w:ascii="Times New Roman" w:hAnsi="Times New Roman" w:cs="Times New Roman"/>
          <w:sz w:val="24"/>
          <w:szCs w:val="24"/>
        </w:rPr>
        <w:t>: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67"/>
        <w:gridCol w:w="425"/>
        <w:gridCol w:w="1630"/>
        <w:gridCol w:w="1630"/>
        <w:gridCol w:w="1630"/>
        <w:gridCol w:w="1631"/>
        <w:gridCol w:w="992"/>
        <w:gridCol w:w="1701"/>
        <w:gridCol w:w="992"/>
      </w:tblGrid>
      <w:tr w:rsidR="00DB0BDC" w:rsidRPr="002E2DAF" w:rsidTr="00A472A1">
        <w:trPr>
          <w:trHeight w:val="135"/>
        </w:trPr>
        <w:tc>
          <w:tcPr>
            <w:tcW w:w="3652" w:type="dxa"/>
            <w:vMerge w:val="restart"/>
            <w:vAlign w:val="center"/>
          </w:tcPr>
          <w:p w:rsidR="00DB0BDC" w:rsidRPr="002E2DAF" w:rsidRDefault="00DB0BDC" w:rsidP="00E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B0BDC" w:rsidRPr="002E2DAF" w:rsidRDefault="00EF2C08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текущей аттестации </w:t>
            </w:r>
          </w:p>
        </w:tc>
        <w:tc>
          <w:tcPr>
            <w:tcW w:w="992" w:type="dxa"/>
            <w:gridSpan w:val="2"/>
            <w:vMerge w:val="restart"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  <w:gridSpan w:val="7"/>
          </w:tcPr>
          <w:p w:rsidR="00DB0BDC" w:rsidRPr="002E2DAF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0BDC" w:rsidRPr="002E2DAF" w:rsidTr="00A472A1">
        <w:trPr>
          <w:trHeight w:val="135"/>
        </w:trPr>
        <w:tc>
          <w:tcPr>
            <w:tcW w:w="3652" w:type="dxa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DB0BDC" w:rsidRPr="002E2DAF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B0BDC" w:rsidRPr="00C51346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стоятельная работа </w:t>
            </w:r>
            <w:proofErr w:type="gramStart"/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472A1" w:rsidRPr="002E2DAF" w:rsidTr="00A472A1">
        <w:trPr>
          <w:cantSplit/>
          <w:trHeight w:val="1284"/>
        </w:trPr>
        <w:tc>
          <w:tcPr>
            <w:tcW w:w="3652" w:type="dxa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 типа</w:t>
            </w: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457716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1346" w:rsidRPr="00EF2C08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литературы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472A1" w:rsidRPr="002E2DAF" w:rsidTr="00A472A1">
        <w:tc>
          <w:tcPr>
            <w:tcW w:w="3652" w:type="dxa"/>
          </w:tcPr>
          <w:p w:rsidR="00C51346" w:rsidRPr="00C51346" w:rsidRDefault="00375DB1" w:rsidP="00375DB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A472A1"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t xml:space="preserve"> </w:t>
            </w:r>
            <w:r w:rsidRPr="00375DB1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мышления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375DB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  <w:vAlign w:val="center"/>
          </w:tcPr>
          <w:p w:rsidR="00C51346" w:rsidRPr="00C51346" w:rsidRDefault="00375DB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375DB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C51346" w:rsidRPr="00C51346" w:rsidRDefault="00AB0575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51346" w:rsidRPr="00C51346" w:rsidRDefault="00375DB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2A1" w:rsidRPr="002E2DAF" w:rsidTr="00A472A1">
        <w:tc>
          <w:tcPr>
            <w:tcW w:w="3652" w:type="dxa"/>
          </w:tcPr>
          <w:p w:rsidR="00C51346" w:rsidRPr="00C51346" w:rsidRDefault="00375DB1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A472A1"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>
              <w:t xml:space="preserve"> </w:t>
            </w:r>
            <w:r w:rsidRPr="00375DB1">
              <w:rPr>
                <w:rFonts w:ascii="Times New Roman" w:hAnsi="Times New Roman" w:cs="Times New Roman"/>
                <w:sz w:val="24"/>
                <w:szCs w:val="24"/>
              </w:rPr>
              <w:t>Применение «зеленых» навыков в профессии</w:t>
            </w:r>
            <w:r w:rsidRPr="00375D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375DB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0" w:type="dxa"/>
            <w:vAlign w:val="center"/>
          </w:tcPr>
          <w:p w:rsidR="00C51346" w:rsidRPr="00C51346" w:rsidRDefault="00375DB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375DB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346" w:rsidRPr="00C51346" w:rsidRDefault="00AB0575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51346" w:rsidRPr="00C51346" w:rsidRDefault="00375DB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C5F" w:rsidRPr="002E2DAF" w:rsidTr="00A472A1">
        <w:tc>
          <w:tcPr>
            <w:tcW w:w="3652" w:type="dxa"/>
          </w:tcPr>
          <w:p w:rsidR="00C61C5F" w:rsidRPr="002E2DAF" w:rsidRDefault="00C61C5F" w:rsidP="00C513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5" w:type="dxa"/>
            <w:gridSpan w:val="7"/>
          </w:tcPr>
          <w:p w:rsidR="00C61C5F" w:rsidRPr="00885800" w:rsidRDefault="00C61C5F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5134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gridSpan w:val="2"/>
            <w:vAlign w:val="center"/>
          </w:tcPr>
          <w:p w:rsidR="00C61C5F" w:rsidRPr="002E2DA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C5F" w:rsidRPr="002E2DAF" w:rsidTr="00A472A1">
        <w:tc>
          <w:tcPr>
            <w:tcW w:w="3652" w:type="dxa"/>
          </w:tcPr>
          <w:p w:rsidR="009C563A" w:rsidRDefault="009C563A" w:rsidP="00C61C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5F" w:rsidRDefault="00C61C5F" w:rsidP="00DA604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DA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563A" w:rsidRPr="002E2DAF" w:rsidRDefault="009C563A" w:rsidP="00C61C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1C5F" w:rsidRPr="002E2DA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gridSpan w:val="6"/>
          </w:tcPr>
          <w:p w:rsidR="00C61C5F" w:rsidRPr="002E2DAF" w:rsidRDefault="00C61C5F" w:rsidP="00C61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61C5F" w:rsidRPr="002E2DAF" w:rsidRDefault="00C61C5F" w:rsidP="00C61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CD" w:rsidRPr="002A4704" w:rsidRDefault="002B2ACD" w:rsidP="007271FF">
      <w:pPr>
        <w:rPr>
          <w:rFonts w:ascii="Times New Roman" w:hAnsi="Times New Roman" w:cs="Times New Roman"/>
          <w:b/>
          <w:i/>
          <w:iCs/>
          <w:sz w:val="24"/>
          <w:szCs w:val="24"/>
        </w:rPr>
        <w:sectPr w:rsidR="002B2ACD" w:rsidRPr="002A4704" w:rsidSect="002B2A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3CC" w:rsidRPr="00BD13CC" w:rsidRDefault="00BD13CC" w:rsidP="00BD13CC">
      <w:pPr>
        <w:rPr>
          <w:rFonts w:ascii="Times New Roman" w:hAnsi="Times New Roman" w:cs="Times New Roman"/>
          <w:b/>
          <w:sz w:val="28"/>
          <w:szCs w:val="28"/>
        </w:rPr>
      </w:pPr>
      <w:r w:rsidRPr="00BD13CC">
        <w:rPr>
          <w:rFonts w:ascii="Times New Roman" w:hAnsi="Times New Roman" w:cs="Times New Roman"/>
          <w:b/>
          <w:sz w:val="28"/>
          <w:szCs w:val="28"/>
        </w:rPr>
        <w:lastRenderedPageBreak/>
        <w:t>Подробное содержание разделов и тем дисциплины:</w:t>
      </w:r>
    </w:p>
    <w:p w:rsidR="00384B88" w:rsidRPr="00384B88" w:rsidRDefault="00375DB1" w:rsidP="00384B8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384B88" w:rsidRPr="0038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384B88"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экологического мышления</w:t>
      </w:r>
    </w:p>
    <w:p w:rsidR="00384B88" w:rsidRPr="00384B88" w:rsidRDefault="00384B88" w:rsidP="00AB0575">
      <w:pPr>
        <w:numPr>
          <w:ilvl w:val="0"/>
          <w:numId w:val="11"/>
        </w:numPr>
        <w:spacing w:line="240" w:lineRule="auto"/>
        <w:ind w:left="113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экологической безопасности на глобальном и национальном уровне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B88" w:rsidRPr="00384B88" w:rsidRDefault="00384B88" w:rsidP="00AB0575">
      <w:pPr>
        <w:numPr>
          <w:ilvl w:val="0"/>
          <w:numId w:val="11"/>
        </w:numPr>
        <w:spacing w:line="240" w:lineRule="auto"/>
        <w:ind w:left="113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Законодательные основы ESG, обеспечения экологической безопасности и устойчивого </w:t>
      </w:r>
      <w:bookmarkStart w:id="0" w:name="_GoBack"/>
      <w:bookmarkEnd w:id="0"/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B88" w:rsidRPr="00384B88" w:rsidRDefault="00384B88" w:rsidP="00AB0575">
      <w:pPr>
        <w:numPr>
          <w:ilvl w:val="0"/>
          <w:numId w:val="11"/>
        </w:numPr>
        <w:spacing w:line="240" w:lineRule="auto"/>
        <w:ind w:left="113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к ресурсосбережению (E), </w:t>
      </w:r>
      <w:proofErr w:type="spellStart"/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(S), управлению (G)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B88" w:rsidRPr="00384B88" w:rsidRDefault="00384B88" w:rsidP="00AB0575">
      <w:pPr>
        <w:numPr>
          <w:ilvl w:val="0"/>
          <w:numId w:val="11"/>
        </w:numPr>
        <w:spacing w:line="240" w:lineRule="auto"/>
        <w:ind w:left="113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«Зеленые» навыки как основа устойчивого развития общества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B88" w:rsidRPr="00384B88" w:rsidRDefault="00384B88" w:rsidP="00AB0575">
      <w:pPr>
        <w:numPr>
          <w:ilvl w:val="0"/>
          <w:numId w:val="11"/>
        </w:numPr>
        <w:spacing w:line="240" w:lineRule="auto"/>
        <w:ind w:left="113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Инженерно-технические навыки, научные навыки, навыки оперативного управления, навыки </w:t>
      </w:r>
      <w:proofErr w:type="gramStart"/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технических критериев и нормативно-правовых требований как основа «зеленых» навыков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DB1" w:rsidRDefault="00375DB1" w:rsidP="00384B88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B88" w:rsidRPr="00384B88" w:rsidRDefault="00384B88" w:rsidP="00384B8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«зеленых» навыков в профессии</w:t>
      </w: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4B88" w:rsidRPr="00384B88" w:rsidRDefault="00384B88" w:rsidP="00AB0575">
      <w:pPr>
        <w:numPr>
          <w:ilvl w:val="0"/>
          <w:numId w:val="12"/>
        </w:numPr>
        <w:spacing w:line="240" w:lineRule="auto"/>
        <w:ind w:left="1134" w:hanging="283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бизнес-процессов к изменению климата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B88" w:rsidRPr="00384B88" w:rsidRDefault="00384B88" w:rsidP="00AB0575">
      <w:pPr>
        <w:numPr>
          <w:ilvl w:val="0"/>
          <w:numId w:val="12"/>
        </w:numPr>
        <w:spacing w:line="240" w:lineRule="auto"/>
        <w:ind w:left="1134" w:hanging="283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Риск-ориентированный</w:t>
      </w:r>
      <w:proofErr w:type="gramEnd"/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E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SG и экологической безопасности.</w:t>
      </w:r>
    </w:p>
    <w:p w:rsidR="00384B88" w:rsidRPr="00384B88" w:rsidRDefault="00384B88" w:rsidP="00AB0575">
      <w:pPr>
        <w:numPr>
          <w:ilvl w:val="0"/>
          <w:numId w:val="12"/>
        </w:numPr>
        <w:spacing w:line="240" w:lineRule="auto"/>
        <w:ind w:left="1134" w:hanging="283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предприятия в ESG-повестке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B88" w:rsidRPr="00384B88" w:rsidRDefault="00384B88" w:rsidP="00AB0575">
      <w:pPr>
        <w:numPr>
          <w:ilvl w:val="0"/>
          <w:numId w:val="12"/>
        </w:numPr>
        <w:spacing w:line="240" w:lineRule="auto"/>
        <w:ind w:left="1134" w:hanging="283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открытости предприятия в ESG-повестки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B88" w:rsidRPr="00384B88" w:rsidRDefault="00384B88" w:rsidP="00AB0575">
      <w:pPr>
        <w:numPr>
          <w:ilvl w:val="0"/>
          <w:numId w:val="12"/>
        </w:numPr>
        <w:spacing w:line="240" w:lineRule="auto"/>
        <w:ind w:left="1134" w:hanging="283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зеленых аналитических и технологических навыков в профессии</w:t>
      </w:r>
      <w:r w:rsidR="00375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3CC" w:rsidRDefault="00BD13CC" w:rsidP="007271FF">
      <w:pPr>
        <w:rPr>
          <w:rFonts w:ascii="Times New Roman" w:hAnsi="Times New Roman" w:cs="Times New Roman"/>
          <w:sz w:val="24"/>
          <w:szCs w:val="24"/>
        </w:rPr>
      </w:pPr>
    </w:p>
    <w:p w:rsidR="007D4B7A" w:rsidRDefault="002B1D6C" w:rsidP="0072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 w:rsidRPr="00951FE4">
        <w:rPr>
          <w:rFonts w:ascii="Times New Roman" w:hAnsi="Times New Roman" w:cs="Times New Roman"/>
          <w:b/>
          <w:sz w:val="24"/>
          <w:szCs w:val="24"/>
        </w:rPr>
        <w:t>сре</w:t>
      </w:r>
      <w:proofErr w:type="gramStart"/>
      <w:r w:rsidRPr="00951FE4">
        <w:rPr>
          <w:rFonts w:ascii="Times New Roman" w:hAnsi="Times New Roman" w:cs="Times New Roman"/>
          <w:b/>
          <w:sz w:val="24"/>
          <w:szCs w:val="24"/>
        </w:rPr>
        <w:t>дств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14" w:rsidRPr="00951FE4">
        <w:rPr>
          <w:rFonts w:ascii="Times New Roman" w:hAnsi="Times New Roman" w:cs="Times New Roman"/>
          <w:b/>
          <w:sz w:val="24"/>
          <w:szCs w:val="24"/>
        </w:rPr>
        <w:t>дл</w:t>
      </w:r>
      <w:proofErr w:type="gramEnd"/>
      <w:r w:rsidR="00CB1814" w:rsidRPr="00951FE4">
        <w:rPr>
          <w:rFonts w:ascii="Times New Roman" w:hAnsi="Times New Roman" w:cs="Times New Roman"/>
          <w:b/>
          <w:sz w:val="24"/>
          <w:szCs w:val="24"/>
        </w:rPr>
        <w:t>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7D4B7A" w:rsidRPr="00951FE4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по 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:rsidR="009F7ACC" w:rsidRDefault="009F7ACC" w:rsidP="007271FF">
      <w:pPr>
        <w:rPr>
          <w:rFonts w:ascii="Times New Roman" w:hAnsi="Times New Roman" w:cs="Times New Roman"/>
          <w:sz w:val="24"/>
          <w:szCs w:val="24"/>
        </w:rPr>
      </w:pPr>
    </w:p>
    <w:p w:rsidR="000D75A4" w:rsidRP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bCs/>
          <w:sz w:val="24"/>
          <w:szCs w:val="24"/>
        </w:rPr>
        <w:t>7.1.</w:t>
      </w:r>
      <w:r w:rsidRPr="000D75A4">
        <w:rPr>
          <w:rFonts w:ascii="Times New Roman" w:hAnsi="Times New Roman" w:cs="Times New Roman"/>
          <w:sz w:val="24"/>
          <w:szCs w:val="24"/>
        </w:rPr>
        <w:t> 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текущего контроля:</w:t>
      </w:r>
    </w:p>
    <w:p w:rsid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</w:p>
    <w:p w:rsidR="00FB4C4D" w:rsidRPr="00460DE6" w:rsidRDefault="00460DE6" w:rsidP="000D75A4">
      <w:pPr>
        <w:rPr>
          <w:rFonts w:ascii="Times New Roman" w:hAnsi="Times New Roman" w:cs="Times New Roman"/>
          <w:sz w:val="24"/>
          <w:szCs w:val="24"/>
        </w:rPr>
      </w:pPr>
      <w:r w:rsidRPr="00460DE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FB4C4D" w:rsidRPr="000D75A4" w:rsidRDefault="00FB4C4D" w:rsidP="000D75A4">
      <w:pPr>
        <w:rPr>
          <w:rFonts w:ascii="Times New Roman" w:hAnsi="Times New Roman" w:cs="Times New Roman"/>
          <w:sz w:val="24"/>
          <w:szCs w:val="24"/>
        </w:rPr>
      </w:pPr>
    </w:p>
    <w:p w:rsidR="009F7ACC" w:rsidRDefault="000D75A4" w:rsidP="007271FF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sz w:val="24"/>
          <w:szCs w:val="24"/>
        </w:rPr>
        <w:t xml:space="preserve">7.2. 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вопросы, задания или иные материалы для проведения промежуточной аттестации: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Административная и уголовная ответственность в области охраны окружающей среды. Ответственность за совершение экологических правонарушений.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Взаимосвязи компонентов E, S и G в процессе ESG-трансформации.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Инженерный подход на жизненном цикле продукции, предприятия, экосистемы.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климатического регулирования, разработки проектов по адаптации к изменению климата, сценарного планирования и подходов к расчету выбросов/поглощения парниковых газов с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бизнес-планированием</w:t>
      </w:r>
      <w:proofErr w:type="gramEnd"/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Взаимосвязь рисков воздействия на окружающую среду с бизнес-процессами.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риск-ориентированного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к ESG и экологической безопасности.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нормативные основы для принятия решений в области ESG-трансформации.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Источники негативного воздействия на компоненты природной среды.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«Зеленые» навыки и способы их развития.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Климатические риски и разработка проектов по адаптации к изменению климата.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Комплексный подход к практическому применению национальных и международных стандартов в области устойчивого развития, охраны окружающей среды и экологической безопасности – на примере менеджмента окружающей среды.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Комплексный подход к практическому применению национальных и международных стандартов в области устойчивого развития на примере менеджмента охраны здоровья и промышленной безопасности.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Концепции экологического риска. Концепция приемлемого риска. Количественные и качественные показатели риска.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контроля качества окружающей среды на объектах промышленного комплекса.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Методы экономического стимулирования и регулирования качеством окружающей среды.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Мониторинг состояния и загрязнения окружающей среды на объектах промышленного комплекса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Наилучшие доступные технологии: порядок и сроки внедрения. Инновация и модернизация как основа экологической безопасности.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Нормативы допустимого воздействия на окружающую среду.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Нормативы качества окружающей среды и принципы установления.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Общие требования в области охраны окружающей среды (ООС) при эксплуатации предприятия. Законодательная база РФ, нормативно-правовое обеспечение, нормативно-техническая документация.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Организационные мероприятия управления качеством окружающей среды на объектах промышленного комплекса.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экологического риска. Определения экологического риска. Факторы экологического риска. Основные этапы процедуры анализа и оценки экологического риска.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Подходы к открытости предприятия в ESG-повестки: глубина раскрытия информации.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Система экологического управления на предприятии. Экологическая политика компании. Экологические стандарты.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Управление экологическими рисками. Определение понятия, цель процедуры управления. Общая схема процесса управления экологическим риском. Оптимизация экологического риска.</w:t>
      </w:r>
    </w:p>
    <w:p w:rsidR="000F04C6" w:rsidRPr="000F04C6" w:rsidRDefault="000F04C6" w:rsidP="000F04C6">
      <w:pPr>
        <w:pStyle w:val="aa"/>
        <w:rPr>
          <w:b/>
        </w:rPr>
      </w:pPr>
      <w:r w:rsidRPr="000F04C6">
        <w:t xml:space="preserve">8. </w:t>
      </w:r>
      <w:r w:rsidRPr="000F04C6">
        <w:rPr>
          <w:b/>
        </w:rPr>
        <w:t xml:space="preserve">Шкала и критерии оценивания результатов </w:t>
      </w:r>
      <w:proofErr w:type="gramStart"/>
      <w:r w:rsidRPr="000F04C6">
        <w:rPr>
          <w:b/>
        </w:rPr>
        <w:t>обучения</w:t>
      </w:r>
      <w:r>
        <w:rPr>
          <w:b/>
        </w:rPr>
        <w:t xml:space="preserve"> по дисциплине</w:t>
      </w:r>
      <w:proofErr w:type="gramEnd"/>
      <w:r>
        <w:rPr>
          <w:b/>
        </w:rPr>
        <w:t>:</w:t>
      </w:r>
    </w:p>
    <w:p w:rsidR="000F04C6" w:rsidRPr="000F04C6" w:rsidRDefault="000F04C6" w:rsidP="000F04C6">
      <w:pPr>
        <w:pStyle w:val="aa"/>
        <w:jc w:val="both"/>
      </w:pPr>
      <w:r>
        <w:t>В таблице представлена ш</w:t>
      </w:r>
      <w:r w:rsidRPr="000F04C6">
        <w:t xml:space="preserve">кала оценивания </w:t>
      </w:r>
      <w:r>
        <w:t xml:space="preserve">результатов </w:t>
      </w:r>
      <w:proofErr w:type="gramStart"/>
      <w:r>
        <w:t>обучения по дисциплине</w:t>
      </w:r>
      <w:proofErr w:type="gramEnd"/>
      <w:r>
        <w:t>.</w:t>
      </w:r>
      <w:r w:rsidRPr="000F04C6">
        <w:t xml:space="preserve"> Уровень знаний обучающегося оценивается на </w:t>
      </w:r>
      <w:r w:rsidR="00460DE6">
        <w:t>«</w:t>
      </w:r>
      <w:r w:rsidRPr="000F04C6">
        <w:t>отлично</w:t>
      </w:r>
      <w:r w:rsidR="00460DE6">
        <w:t>», «</w:t>
      </w:r>
      <w:r w:rsidRPr="000F04C6">
        <w:t>хорошо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удовлетворительно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неудовлетворительно</w:t>
      </w:r>
      <w:r w:rsidR="00460DE6">
        <w:t>»</w:t>
      </w:r>
      <w:r w:rsidRPr="000F04C6">
        <w:t>.</w:t>
      </w:r>
      <w:r>
        <w:t xml:space="preserve"> </w:t>
      </w:r>
    </w:p>
    <w:p w:rsidR="000F04C6" w:rsidRDefault="000F04C6" w:rsidP="000F04C6">
      <w:pPr>
        <w:pStyle w:val="aa"/>
        <w:jc w:val="both"/>
      </w:pPr>
      <w:r w:rsidRPr="00460DE6">
        <w:t xml:space="preserve">Оценка </w:t>
      </w:r>
      <w:r w:rsidR="00460DE6" w:rsidRPr="00460DE6">
        <w:t>«</w:t>
      </w:r>
      <w:r w:rsidRPr="00460DE6">
        <w:t>отлично</w:t>
      </w:r>
      <w:r w:rsidR="00460DE6" w:rsidRPr="00460DE6">
        <w:t>»</w:t>
      </w:r>
      <w:r w:rsidRPr="00460DE6">
        <w:t xml:space="preserve"> выставляется</w:t>
      </w:r>
      <w:r w:rsidR="00460DE6">
        <w:t xml:space="preserve">, </w:t>
      </w:r>
      <w:r w:rsidRPr="00460DE6">
        <w:t xml:space="preserve">если </w:t>
      </w:r>
      <w:proofErr w:type="gramStart"/>
      <w:r w:rsidRPr="00460DE6">
        <w:t>обучающийся</w:t>
      </w:r>
      <w:proofErr w:type="gramEnd"/>
      <w:r w:rsidRPr="00460DE6">
        <w:t xml:space="preserve"> демонстрирует сформированные систематические знания, умения и навыки их практического использования. Оценка </w:t>
      </w:r>
      <w:r w:rsidR="00460DE6">
        <w:t>«</w:t>
      </w:r>
      <w:r w:rsidRPr="00460DE6">
        <w:t>хорошо</w:t>
      </w:r>
      <w:r w:rsidR="00460DE6">
        <w:t>»</w:t>
      </w:r>
      <w:r w:rsidRPr="00460DE6">
        <w:t xml:space="preserve"> ставится, если при демонстрации знаний, умений и навыков студент допускает отдельные неточности (пробелы, ошибочные действия) непринципиального характера. При несистематических знаниях, демонстрации отдельных (но принципиально значимых навыков) и затруднениях в демонстрации других навыков выставляется оценка «удовлетворительно». Оценка </w:t>
      </w:r>
      <w:r w:rsidR="00460DE6">
        <w:t>«</w:t>
      </w:r>
      <w:r w:rsidRPr="00460DE6">
        <w:t>неудовлетворительно</w:t>
      </w:r>
      <w:r w:rsidR="00460DE6">
        <w:t>»</w:t>
      </w:r>
      <w:r w:rsidRPr="00460DE6">
        <w:t xml:space="preserve"> ставится, если знания</w:t>
      </w:r>
      <w:r w:rsidR="00460DE6">
        <w:t xml:space="preserve"> </w:t>
      </w:r>
      <w:r w:rsidRPr="00460DE6">
        <w:t>и умения фрагментарны, а навыки</w:t>
      </w:r>
      <w:r w:rsidRPr="00460DE6">
        <w:rPr>
          <w:shd w:val="clear" w:color="auto" w:fill="FFFFDE"/>
        </w:rPr>
        <w:t xml:space="preserve"> </w:t>
      </w:r>
      <w:r w:rsidRPr="00460DE6">
        <w:t>отсутствуют.</w:t>
      </w:r>
    </w:p>
    <w:p w:rsidR="00460DE6" w:rsidRPr="000F04C6" w:rsidRDefault="00460DE6" w:rsidP="000F04C6">
      <w:pPr>
        <w:pStyle w:val="aa"/>
        <w:jc w:val="both"/>
      </w:pPr>
      <w:r>
        <w:t>При проведении промежуточной аттестации «</w:t>
      </w:r>
      <w:r w:rsidRPr="00460DE6">
        <w:t>зачет</w:t>
      </w:r>
      <w:r>
        <w:t>»</w:t>
      </w:r>
      <w:r w:rsidRPr="00460DE6">
        <w:t xml:space="preserve"> выставляется, если результаты </w:t>
      </w:r>
      <w:r>
        <w:t>обучения соответствуют оценкам «5», «4» и «3», а «незачет»</w:t>
      </w:r>
      <w:r w:rsidRPr="00460DE6">
        <w:t xml:space="preserve"> - если результаты обучения ниже этих показателей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495"/>
        <w:gridCol w:w="1985"/>
        <w:gridCol w:w="2058"/>
        <w:gridCol w:w="2017"/>
      </w:tblGrid>
      <w:tr w:rsidR="000F04C6" w:rsidRPr="004B2A22" w:rsidTr="00460D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результатов обучения</w:t>
            </w:r>
            <w:r w:rsidR="002B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(РО)</w:t>
            </w: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0F04C6" w:rsidRPr="004B2A22" w:rsidRDefault="000F04C6" w:rsidP="005106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F04C6" w:rsidRPr="004B2A22" w:rsidRDefault="000F04C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виды 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оценочных средств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</w:p>
          <w:p w:rsidR="000F04C6" w:rsidRPr="00460DE6" w:rsidRDefault="000F04C6" w:rsidP="00460DE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средств:  </w:t>
            </w:r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устный зачет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Общие, но не </w:t>
            </w: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структурирован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знания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непринципиаль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навыки (владения), применяемые при решении задач</w:t>
            </w:r>
          </w:p>
        </w:tc>
      </w:tr>
    </w:tbl>
    <w:p w:rsidR="00CC5BB8" w:rsidRDefault="00CC5BB8" w:rsidP="00BA589D">
      <w:pPr>
        <w:rPr>
          <w:rFonts w:ascii="Times New Roman" w:hAnsi="Times New Roman" w:cs="Times New Roman"/>
          <w:sz w:val="24"/>
          <w:szCs w:val="24"/>
        </w:rPr>
      </w:pPr>
    </w:p>
    <w:p w:rsidR="00BA589D" w:rsidRPr="00BA589D" w:rsidRDefault="000F04C6" w:rsidP="00BA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89D" w:rsidRPr="00BA589D">
        <w:rPr>
          <w:rFonts w:ascii="Times New Roman" w:hAnsi="Times New Roman" w:cs="Times New Roman"/>
          <w:sz w:val="24"/>
          <w:szCs w:val="24"/>
        </w:rPr>
        <w:t xml:space="preserve">. </w:t>
      </w:r>
      <w:r w:rsidR="00BA589D" w:rsidRPr="00BA589D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51346" w:rsidRPr="00C51346" w:rsidRDefault="00BA589D" w:rsidP="00BA58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C51346" w:rsidRPr="00C51346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C51346" w:rsidRDefault="00C51346" w:rsidP="00C51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Алымов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В.Т. Тарасова Н.П.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Техногенный риск: анализ и оценка: учеб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особие для вузов по специальности «Охрана окружающей среды и рацион, использование природ, ресурсов». – Москва: Академкнига, 2006. 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Башкин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В.Н.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Экологические риски: расчет, управление, страхование: учеб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особие по спец. «Экология», «Природопользование», «Геология» и напр. «Экология и природопользование». – М.: Высшая школа, 2007. 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Ваганов П.А., </w:t>
      </w: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Ман-Сунг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И.М.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Экологические риски: учеб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особие.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>-е 2-е. – СПб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Изд-во С.-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Петерб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. ун-та, 2001. 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Викторов А.А., Гладких В.Д., Ксенофонтов А.И., Смирнов В.В.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медико-экологической безопасности: Учебное пособие. – М.: НИЯУ МИФИ, 2011.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Вишняков Я.Д., </w:t>
      </w: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Радаев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Н.Н.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Общая теория рисков : учеб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. учеб. заведений. 2-е изд.,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>. - М.: Издательский центр «Академия», 2008.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Данилов-</w:t>
      </w: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Данильян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В.И., </w:t>
      </w: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Залиханов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М.Ч., Лосев К.С.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Экологическая безопасность. Общие принципы и российский аспект. – М.: МППА БИМПА, 2007.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Дмитренко В.П., </w:t>
      </w: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Мессинева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Е.М., Фетисов А.Г.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экологической безопасностью в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. – СПб: Лань, 2016. 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Калыгин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В.Г.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Промышленная экология. Учеб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>. учеб. заведений. – М.: Изд. центр «Академия», 2010.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Кривошеин Д.А., Дмитренко В.П., Федотова Н.В.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экологической безопасности производств. – СПб: Лань, 2015.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Промышленная экология / под ред. В.В. Денисова. – Ростов н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>: Феникс; М.: ИКЦ «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>»; Ростов н/Д: Издательский центр «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>», 2009.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>Юлкин</w:t>
      </w:r>
      <w:proofErr w:type="spellEnd"/>
      <w:r w:rsidRPr="00375DB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М.А.</w:t>
      </w: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Низкоуглеродное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развитие: от теории к практике. – М.: АНО «Центр экологических инвестиций», 2018. 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en-GB"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Green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economy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in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action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Articles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and excerpts that illustrate green economy and sustainable development efforts // Green Growth Knowledge Platform. 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UNDP. 2012.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en-GB"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lastRenderedPageBreak/>
        <w:t xml:space="preserve">Green jobs and related policy frameworks. An overview of the European Union // Skills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For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Employment. 2013.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en-GB"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Green skills and innovation for inclusive growth //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Cedefop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. Luxembourg: Publications office of the European Union, 2015.</w:t>
      </w:r>
    </w:p>
    <w:p w:rsidR="00375DB1" w:rsidRPr="00375DB1" w:rsidRDefault="00375DB1" w:rsidP="00375DB1">
      <w:pPr>
        <w:numPr>
          <w:ilvl w:val="0"/>
          <w:numId w:val="1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en-GB"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Green Skills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/</w:t>
      </w: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Francesco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Vona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, Giovanni Marin,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Davide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proofErr w:type="spellStart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Consoli</w:t>
      </w:r>
      <w:proofErr w:type="spellEnd"/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>, and David Popp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375DB1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NBER Working Paper No. 21116 April 2015 JEL</w:t>
      </w:r>
      <w:r w:rsidRPr="00375DB1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375DB1" w:rsidRPr="00C51346" w:rsidRDefault="00375DB1" w:rsidP="00C51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589D" w:rsidRPr="00C51346" w:rsidRDefault="00BA589D" w:rsidP="00BA58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Описание материально-технической базы</w:t>
      </w:r>
      <w:r w:rsidR="00460DE6" w:rsidRPr="00C51346">
        <w:rPr>
          <w:rFonts w:ascii="Times New Roman" w:hAnsi="Times New Roman" w:cs="Times New Roman"/>
          <w:sz w:val="24"/>
          <w:szCs w:val="24"/>
        </w:rPr>
        <w:t>:</w:t>
      </w:r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E6" w:rsidRPr="00C51346" w:rsidRDefault="00460DE6" w:rsidP="00460D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Помещения – аудитория, рассчитанная на группу из </w:t>
      </w:r>
      <w:r w:rsidR="00375DB1">
        <w:rPr>
          <w:rFonts w:ascii="Times New Roman" w:hAnsi="Times New Roman" w:cs="Times New Roman"/>
          <w:sz w:val="24"/>
          <w:szCs w:val="24"/>
        </w:rPr>
        <w:t>6</w:t>
      </w:r>
      <w:r w:rsidRPr="00C51346">
        <w:rPr>
          <w:rFonts w:ascii="Times New Roman" w:hAnsi="Times New Roman" w:cs="Times New Roman"/>
          <w:sz w:val="24"/>
          <w:szCs w:val="24"/>
        </w:rPr>
        <w:t xml:space="preserve">0 учащихся; </w:t>
      </w:r>
    </w:p>
    <w:p w:rsidR="00460DE6" w:rsidRPr="00C51346" w:rsidRDefault="00460DE6" w:rsidP="00460D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Оборудование – мультимедийный проектор, компьютер, экран.</w:t>
      </w:r>
    </w:p>
    <w:p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7D4B7A" w:rsidRPr="00CA66BB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  <w:r w:rsidR="00460DE6" w:rsidRPr="00460DE6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7D4B7A" w:rsidRPr="00BE7F1E" w:rsidRDefault="007D4B7A" w:rsidP="000F00A9">
      <w:pPr>
        <w:rPr>
          <w:rFonts w:ascii="Times New Roman" w:hAnsi="Times New Roman" w:cs="Times New Roman"/>
          <w:sz w:val="24"/>
          <w:szCs w:val="24"/>
        </w:rPr>
      </w:pPr>
    </w:p>
    <w:p w:rsidR="007D4B7A" w:rsidRDefault="00B41A67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64E">
        <w:rPr>
          <w:rFonts w:ascii="Times New Roman" w:hAnsi="Times New Roman" w:cs="Times New Roman"/>
          <w:sz w:val="24"/>
          <w:szCs w:val="24"/>
        </w:rPr>
        <w:t>1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Преподаватель (преподаватели)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A472A1" w:rsidRDefault="00375DB1" w:rsidP="007B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Елена Александровна</w:t>
      </w:r>
    </w:p>
    <w:p w:rsidR="007B5935" w:rsidRPr="00445AAA" w:rsidRDefault="00375DB1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Доцент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кафедры химии почв факультета почвоведения МГУ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М.В. Ломоносова</w:t>
      </w:r>
    </w:p>
    <w:p w:rsidR="007B5935" w:rsidRDefault="00375DB1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r w:rsidR="00C6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биологических наук</w:t>
      </w:r>
    </w:p>
    <w:p w:rsidR="0010548B" w:rsidRDefault="0010548B" w:rsidP="000F00A9">
      <w:pPr>
        <w:rPr>
          <w:rFonts w:ascii="Times New Roman" w:hAnsi="Times New Roman" w:cs="Times New Roman"/>
          <w:sz w:val="24"/>
          <w:szCs w:val="24"/>
        </w:rPr>
      </w:pPr>
    </w:p>
    <w:p w:rsidR="0010548B" w:rsidRDefault="00A4264E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548B">
        <w:rPr>
          <w:rFonts w:ascii="Times New Roman" w:hAnsi="Times New Roman" w:cs="Times New Roman"/>
          <w:sz w:val="24"/>
          <w:szCs w:val="24"/>
        </w:rPr>
        <w:t xml:space="preserve">. </w:t>
      </w:r>
      <w:r w:rsidR="0010548B" w:rsidRPr="00CA66BB">
        <w:rPr>
          <w:rFonts w:ascii="Times New Roman" w:hAnsi="Times New Roman" w:cs="Times New Roman"/>
          <w:b/>
          <w:sz w:val="24"/>
          <w:szCs w:val="24"/>
        </w:rPr>
        <w:t>Разработчики программы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375DB1" w:rsidRDefault="00375DB1" w:rsidP="00375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Елена Александровна</w:t>
      </w:r>
    </w:p>
    <w:p w:rsidR="00375DB1" w:rsidRPr="00445AAA" w:rsidRDefault="00375DB1" w:rsidP="00375D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Доцент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кафедры химии почв факультета почвоведения МГУ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М.В. Ломоносова</w:t>
      </w:r>
    </w:p>
    <w:p w:rsidR="00375DB1" w:rsidRDefault="00375DB1" w:rsidP="00375D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биологических наук</w:t>
      </w:r>
    </w:p>
    <w:p w:rsidR="000D75A4" w:rsidRDefault="000D75A4" w:rsidP="000F00A9">
      <w:pPr>
        <w:rPr>
          <w:rFonts w:ascii="Times New Roman" w:hAnsi="Times New Roman" w:cs="Times New Roman"/>
          <w:sz w:val="24"/>
          <w:szCs w:val="24"/>
        </w:rPr>
      </w:pPr>
    </w:p>
    <w:p w:rsidR="000D75A4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75A4">
        <w:rPr>
          <w:rFonts w:ascii="Times New Roman" w:hAnsi="Times New Roman" w:cs="Times New Roman"/>
          <w:sz w:val="24"/>
          <w:szCs w:val="24"/>
        </w:rPr>
        <w:t xml:space="preserve">. 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Краткая аннотация дисциплины:</w:t>
      </w:r>
    </w:p>
    <w:p w:rsid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5DB1" w:rsidRPr="00375DB1" w:rsidRDefault="00375DB1" w:rsidP="00375D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75DB1">
        <w:rPr>
          <w:rFonts w:ascii="Times New Roman" w:hAnsi="Times New Roman" w:cs="Times New Roman"/>
          <w:sz w:val="24"/>
          <w:szCs w:val="24"/>
        </w:rPr>
        <w:t xml:space="preserve">Практико-ориентированный межфакультетский учебный курс «ESG и “зеленые” навыки профессионалов будущего» подготовлен с целью формирования «зеленых» навыков у студентов как у высококвалифицированных специалистов будущего; развития </w:t>
      </w:r>
      <w:proofErr w:type="spellStart"/>
      <w:r w:rsidRPr="00375DB1">
        <w:rPr>
          <w:rFonts w:ascii="Times New Roman" w:hAnsi="Times New Roman" w:cs="Times New Roman"/>
          <w:sz w:val="24"/>
          <w:szCs w:val="24"/>
        </w:rPr>
        <w:t>надпрофессионального</w:t>
      </w:r>
      <w:proofErr w:type="spellEnd"/>
      <w:r w:rsidRPr="00375DB1">
        <w:rPr>
          <w:rFonts w:ascii="Times New Roman" w:hAnsi="Times New Roman" w:cs="Times New Roman"/>
          <w:sz w:val="24"/>
          <w:szCs w:val="24"/>
        </w:rPr>
        <w:t xml:space="preserve"> навыка экологического мышления, который поможет студентам быть востребованными и мобильными на рынке труда; знакомства с принципами углеродно-нейтрального и устойчивого развития, которое является необходимым в настоящее время.</w:t>
      </w:r>
      <w:proofErr w:type="gramEnd"/>
      <w:r w:rsidRPr="00375DB1">
        <w:rPr>
          <w:rFonts w:ascii="Times New Roman" w:hAnsi="Times New Roman" w:cs="Times New Roman"/>
          <w:sz w:val="24"/>
          <w:szCs w:val="24"/>
        </w:rPr>
        <w:t xml:space="preserve"> «Зеленые» навыки (</w:t>
      </w:r>
      <w:proofErr w:type="spellStart"/>
      <w:r w:rsidRPr="00375DB1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37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B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75DB1">
        <w:rPr>
          <w:rFonts w:ascii="Times New Roman" w:hAnsi="Times New Roman" w:cs="Times New Roman"/>
          <w:sz w:val="24"/>
          <w:szCs w:val="24"/>
        </w:rPr>
        <w:t xml:space="preserve">) - это знания, способности, ценности и установки, необходимые для жизни, развития и поддержки устойчивого и </w:t>
      </w:r>
      <w:proofErr w:type="spellStart"/>
      <w:r w:rsidRPr="00375DB1">
        <w:rPr>
          <w:rFonts w:ascii="Times New Roman" w:hAnsi="Times New Roman" w:cs="Times New Roman"/>
          <w:sz w:val="24"/>
          <w:szCs w:val="24"/>
        </w:rPr>
        <w:t>ресурсоэффективного</w:t>
      </w:r>
      <w:proofErr w:type="spellEnd"/>
      <w:r w:rsidRPr="00375DB1">
        <w:rPr>
          <w:rFonts w:ascii="Times New Roman" w:hAnsi="Times New Roman" w:cs="Times New Roman"/>
          <w:sz w:val="24"/>
          <w:szCs w:val="24"/>
        </w:rPr>
        <w:t xml:space="preserve"> общества, а ESG трансформация направлена на соблюдение экологических (</w:t>
      </w:r>
      <w:r w:rsidRPr="00375DB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375DB1">
        <w:rPr>
          <w:rFonts w:ascii="Times New Roman" w:hAnsi="Times New Roman" w:cs="Times New Roman"/>
          <w:sz w:val="24"/>
          <w:szCs w:val="24"/>
        </w:rPr>
        <w:t>nvironmental</w:t>
      </w:r>
      <w:proofErr w:type="spellEnd"/>
      <w:r w:rsidRPr="00375DB1">
        <w:rPr>
          <w:rFonts w:ascii="Times New Roman" w:hAnsi="Times New Roman" w:cs="Times New Roman"/>
          <w:sz w:val="24"/>
          <w:szCs w:val="24"/>
        </w:rPr>
        <w:t>) и социальных (</w:t>
      </w:r>
      <w:r w:rsidRPr="00375DB1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75DB1">
        <w:rPr>
          <w:rFonts w:ascii="Times New Roman" w:hAnsi="Times New Roman" w:cs="Times New Roman"/>
          <w:sz w:val="24"/>
          <w:szCs w:val="24"/>
        </w:rPr>
        <w:t>ocial</w:t>
      </w:r>
      <w:proofErr w:type="spellEnd"/>
      <w:r w:rsidRPr="00375DB1">
        <w:rPr>
          <w:rFonts w:ascii="Times New Roman" w:hAnsi="Times New Roman" w:cs="Times New Roman"/>
          <w:sz w:val="24"/>
          <w:szCs w:val="24"/>
        </w:rPr>
        <w:t>) приоритетов, а также принципов прозрачности управления (</w:t>
      </w:r>
      <w:r w:rsidRPr="00375DB1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375DB1">
        <w:rPr>
          <w:rFonts w:ascii="Times New Roman" w:hAnsi="Times New Roman" w:cs="Times New Roman"/>
          <w:sz w:val="24"/>
          <w:szCs w:val="24"/>
        </w:rPr>
        <w:t>overnance</w:t>
      </w:r>
      <w:proofErr w:type="spellEnd"/>
      <w:r w:rsidRPr="00375DB1">
        <w:rPr>
          <w:rFonts w:ascii="Times New Roman" w:hAnsi="Times New Roman" w:cs="Times New Roman"/>
          <w:sz w:val="24"/>
          <w:szCs w:val="24"/>
        </w:rPr>
        <w:t>) при планировании отраслевого и корпоративного развития современных организаций. Зелеными также называют навыки, необходимые для эксплуатации и развития зеленых технологий, генеративной экономики. Основные компетенции в сфере устойчивого развития являются аналитическими и техническими навыками высокого уровня, в значительной степени связанными с разработкой, производством, управлением и мониторингом зеленых технологий. Межфакультетский курс является адаптацией политики обучения к фактическим потребностям работодателей и развитию у студентов навыков, обеспечивающих конкурентоспособность будущих выпускников в условиях актуализации экологической повестки в различных сферах общественной жизни.</w:t>
      </w:r>
    </w:p>
    <w:p w:rsidR="00375DB1" w:rsidRPr="00375DB1" w:rsidRDefault="00375DB1" w:rsidP="00375D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5DB1">
        <w:rPr>
          <w:rFonts w:ascii="Times New Roman" w:hAnsi="Times New Roman" w:cs="Times New Roman"/>
          <w:sz w:val="24"/>
          <w:szCs w:val="24"/>
        </w:rPr>
        <w:t>Цель программы – освоение слушателями теоретических и практических основ в области ESG и «зеленых» навыков, овладение методами анализа ESG-рисков, подготовка слушателей к практической разработке и внедрению стратегий устойчивого развития и экологической безопасности в организациях широкого профиля.</w:t>
      </w:r>
    </w:p>
    <w:p w:rsidR="00375DB1" w:rsidRPr="00375DB1" w:rsidRDefault="00375DB1" w:rsidP="00375D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5DB1">
        <w:rPr>
          <w:rFonts w:ascii="Times New Roman" w:hAnsi="Times New Roman" w:cs="Times New Roman"/>
          <w:sz w:val="24"/>
          <w:szCs w:val="24"/>
        </w:rPr>
        <w:lastRenderedPageBreak/>
        <w:t>Задачи программы:</w:t>
      </w:r>
    </w:p>
    <w:p w:rsidR="00375DB1" w:rsidRPr="00375DB1" w:rsidRDefault="00375DB1" w:rsidP="00375D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5DB1">
        <w:rPr>
          <w:rFonts w:ascii="Times New Roman" w:hAnsi="Times New Roman" w:cs="Times New Roman"/>
          <w:sz w:val="24"/>
          <w:szCs w:val="24"/>
        </w:rPr>
        <w:t>1) освоение слушателями «зеленых» навыков, формирование экологического мышления и основ экологического просвещения;</w:t>
      </w:r>
    </w:p>
    <w:p w:rsidR="00375DB1" w:rsidRPr="00375DB1" w:rsidRDefault="00375DB1" w:rsidP="00375D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5DB1">
        <w:rPr>
          <w:rFonts w:ascii="Times New Roman" w:hAnsi="Times New Roman" w:cs="Times New Roman"/>
          <w:sz w:val="24"/>
          <w:szCs w:val="24"/>
        </w:rPr>
        <w:t>2) формирование способности понимать, излагать и критически анализировать базовую информацию при анализе состояния организации и формулировать политику организации в области ESG, экологической безопасности, устойчивого развития, углеродно-нейтральной и ресурсосберегающей стратегии;</w:t>
      </w:r>
    </w:p>
    <w:p w:rsidR="00375DB1" w:rsidRPr="00375DB1" w:rsidRDefault="00375DB1" w:rsidP="00375D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5DB1">
        <w:rPr>
          <w:rFonts w:ascii="Times New Roman" w:hAnsi="Times New Roman" w:cs="Times New Roman"/>
          <w:sz w:val="24"/>
          <w:szCs w:val="24"/>
        </w:rPr>
        <w:t>3) формирование способности качественно анализировать полученные экспериментальные и известные из литературы результаты оценки ESG-рисков, делать необходимые выводы и формулировать предложения в области устойчивого развития, экологической безопасности, экологического просвещения;</w:t>
      </w:r>
    </w:p>
    <w:p w:rsidR="00375DB1" w:rsidRPr="00375DB1" w:rsidRDefault="00375DB1" w:rsidP="00375DB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</w:rPr>
        <w:t>4) формирование готовности обучающихся к проектированию комплексных работ в сфере ESG и экологической безопасности, составлении нефинансовой отчетности, необходимых для соблюдения законодательных требований, формирования открытости и повышения конкурентных преимуществ компании.</w:t>
      </w:r>
    </w:p>
    <w:p w:rsidR="00CC5BB8" w:rsidRPr="00CA66BB" w:rsidRDefault="00CC5BB8" w:rsidP="00375DB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CC5BB8" w:rsidRPr="00CA66BB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8D" w:rsidRDefault="0029318D" w:rsidP="005331D7">
      <w:pPr>
        <w:spacing w:line="240" w:lineRule="auto"/>
      </w:pPr>
      <w:r>
        <w:separator/>
      </w:r>
    </w:p>
  </w:endnote>
  <w:endnote w:type="continuationSeparator" w:id="0">
    <w:p w:rsidR="0029318D" w:rsidRDefault="0029318D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8D" w:rsidRDefault="0029318D" w:rsidP="005331D7">
      <w:pPr>
        <w:spacing w:line="240" w:lineRule="auto"/>
      </w:pPr>
      <w:r>
        <w:separator/>
      </w:r>
    </w:p>
  </w:footnote>
  <w:footnote w:type="continuationSeparator" w:id="0">
    <w:p w:rsidR="0029318D" w:rsidRDefault="0029318D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E1D"/>
    <w:multiLevelType w:val="hybridMultilevel"/>
    <w:tmpl w:val="9FF6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9022B3"/>
    <w:multiLevelType w:val="hybridMultilevel"/>
    <w:tmpl w:val="B808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4221B3B"/>
    <w:multiLevelType w:val="hybridMultilevel"/>
    <w:tmpl w:val="E52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A6FE6"/>
    <w:multiLevelType w:val="hybridMultilevel"/>
    <w:tmpl w:val="31C83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23A4F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7024"/>
    <w:rsid w:val="0026703C"/>
    <w:rsid w:val="0027162D"/>
    <w:rsid w:val="0029110F"/>
    <w:rsid w:val="0029318D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305860"/>
    <w:rsid w:val="0031616C"/>
    <w:rsid w:val="0032625C"/>
    <w:rsid w:val="00363E49"/>
    <w:rsid w:val="00364171"/>
    <w:rsid w:val="00375DB1"/>
    <w:rsid w:val="00384B88"/>
    <w:rsid w:val="003942AC"/>
    <w:rsid w:val="003A0E04"/>
    <w:rsid w:val="003A77D0"/>
    <w:rsid w:val="003B3DB4"/>
    <w:rsid w:val="003B48FC"/>
    <w:rsid w:val="003D2ED0"/>
    <w:rsid w:val="003E0655"/>
    <w:rsid w:val="003E1E6D"/>
    <w:rsid w:val="003E2275"/>
    <w:rsid w:val="003E3FB7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331D7"/>
    <w:rsid w:val="00536DF9"/>
    <w:rsid w:val="005428FA"/>
    <w:rsid w:val="005772DC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817D1"/>
    <w:rsid w:val="00697A7A"/>
    <w:rsid w:val="006E403F"/>
    <w:rsid w:val="00706CAD"/>
    <w:rsid w:val="0072329A"/>
    <w:rsid w:val="0072334C"/>
    <w:rsid w:val="00723C7B"/>
    <w:rsid w:val="007271FF"/>
    <w:rsid w:val="007408F5"/>
    <w:rsid w:val="0074343F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32326"/>
    <w:rsid w:val="008339A5"/>
    <w:rsid w:val="0086176A"/>
    <w:rsid w:val="00872918"/>
    <w:rsid w:val="00885800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5068A"/>
    <w:rsid w:val="00951FE4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25B89"/>
    <w:rsid w:val="00A31999"/>
    <w:rsid w:val="00A342D5"/>
    <w:rsid w:val="00A4264E"/>
    <w:rsid w:val="00A472A1"/>
    <w:rsid w:val="00A53A45"/>
    <w:rsid w:val="00A819CD"/>
    <w:rsid w:val="00A82052"/>
    <w:rsid w:val="00A92264"/>
    <w:rsid w:val="00A942D6"/>
    <w:rsid w:val="00AB0575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775E"/>
    <w:rsid w:val="00B70815"/>
    <w:rsid w:val="00B82ADF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54F"/>
    <w:rsid w:val="00C57984"/>
    <w:rsid w:val="00C61C5F"/>
    <w:rsid w:val="00C63B0F"/>
    <w:rsid w:val="00C63F5D"/>
    <w:rsid w:val="00C73061"/>
    <w:rsid w:val="00C73BE4"/>
    <w:rsid w:val="00C7714A"/>
    <w:rsid w:val="00C82D57"/>
    <w:rsid w:val="00C84C50"/>
    <w:rsid w:val="00C96FA8"/>
    <w:rsid w:val="00CA19E0"/>
    <w:rsid w:val="00CA2F29"/>
    <w:rsid w:val="00CA4C0C"/>
    <w:rsid w:val="00CA66BB"/>
    <w:rsid w:val="00CB1814"/>
    <w:rsid w:val="00CC3F11"/>
    <w:rsid w:val="00CC5526"/>
    <w:rsid w:val="00CC5BB8"/>
    <w:rsid w:val="00CC5EED"/>
    <w:rsid w:val="00CE2958"/>
    <w:rsid w:val="00CE63BE"/>
    <w:rsid w:val="00CF27DE"/>
    <w:rsid w:val="00CF33D6"/>
    <w:rsid w:val="00D2282F"/>
    <w:rsid w:val="00D3343E"/>
    <w:rsid w:val="00D43FF2"/>
    <w:rsid w:val="00D453EA"/>
    <w:rsid w:val="00D5045A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C0E0-8FC8-4DFD-9C32-59601613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Поздняков Лев Анатольевич</cp:lastModifiedBy>
  <cp:revision>4</cp:revision>
  <cp:lastPrinted>2019-02-28T11:53:00Z</cp:lastPrinted>
  <dcterms:created xsi:type="dcterms:W3CDTF">2023-02-03T12:56:00Z</dcterms:created>
  <dcterms:modified xsi:type="dcterms:W3CDTF">2023-02-03T13:36:00Z</dcterms:modified>
</cp:coreProperties>
</file>