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0B2" w:rsidRPr="00AA4442" w:rsidRDefault="00CA40B2" w:rsidP="00CA40B2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079" w:rsidRPr="00AA4442" w:rsidRDefault="005B0079" w:rsidP="00AC005B">
      <w:pPr>
        <w:pStyle w:val="1-"/>
        <w:numPr>
          <w:ilvl w:val="0"/>
          <w:numId w:val="6"/>
        </w:numPr>
        <w:spacing w:line="360" w:lineRule="auto"/>
        <w:jc w:val="both"/>
        <w:rPr>
          <w:i/>
          <w:color w:val="000000"/>
        </w:rPr>
      </w:pPr>
      <w:r w:rsidRPr="00AA4442">
        <w:rPr>
          <w:i/>
          <w:color w:val="000000"/>
        </w:rPr>
        <w:t xml:space="preserve">Методические рекомендации по подготовке рефератов, докладов и других письменных работ </w:t>
      </w:r>
    </w:p>
    <w:p w:rsidR="005B0079" w:rsidRPr="00AA4442" w:rsidRDefault="005B0079" w:rsidP="005B0079">
      <w:pPr>
        <w:pStyle w:val="1-"/>
        <w:spacing w:line="360" w:lineRule="auto"/>
        <w:jc w:val="both"/>
        <w:rPr>
          <w:b w:val="0"/>
          <w:i/>
          <w:color w:val="000000"/>
        </w:rPr>
      </w:pP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Самостоятельная работа студента включает наряду с изучением </w:t>
      </w:r>
      <w:r w:rsidR="004D506F"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первоисточников 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выполнение письменных работ. При этом студент самостоятельно анализирует специальную (научную) литературу и политическую практику, знакомится с учебными и учебно-методическими работами. 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Выполнение письменной работы – это также одна из основных форм промежуточного контроля. Она должна показывать уровень освоения ее автором методов научного анализа теории и политики идентичности, умение делать теоретические обобщения и практические выводы, обоснованные предложения и рекомендации по формированию и реализации политики.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К содержанию и оформлению доклада, реферата и др. письменной работы, как правило, не предъявляется общепринятых требований, тем не менее, она должна: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– носить творческий характер с использованием, прежде всего, научной литературы;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– отвечать требованиям логичного и чёткого изложения материала, доказательности и достоверности фактов;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– отражать умение пользоваться рациональными приёмами поиска, отбора, обработки и систематизации политической информации;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– соответствовать требованиям к ее структурированию и оформлению (чёткая и последовательная структура, завершённость, правильное оформление библиографических ссылок, списка использованной литературы, аккуратность исполнения). 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Структура работы определяется автором индивидуально, исходя из избранного предмета и объекта исследования. Структура работы считается обоснованной, если в ее рамках последовательно, логично и полно раскрывается сформулированная тема, конкретизируются цель и задачи исследования. 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Большое значение структурирования, а также оформления письменной работы, на которое обращается внимание при ее подготовке, обусловлено не только учебными задачами. Это не формальные моменты: соблюдение данных формальных требований говорит в целом об уровне культуры работы с письменными текстами, документами, необходимой каждому студенту. При относительно свободном выборе структуры работы необходимо придерживаться общих правил выполнения научного исследования. Письменная работа включает в себя следующие элементы, которые соответствующим образом отражаются в ее структуре, а частично в плане (содержании):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1. Титульный лист – это первая страница работы, которая в обязательном порядке содержит следующие сведения: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Наименование учредителя учебного заведения.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Наименование учебного заведения.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Название структурного под</w:t>
      </w:r>
      <w:r w:rsidR="003073A1">
        <w:rPr>
          <w:rFonts w:ascii="Times New Roman" w:hAnsi="Times New Roman" w:cs="Times New Roman"/>
          <w:color w:val="000000"/>
          <w:sz w:val="28"/>
          <w:szCs w:val="28"/>
        </w:rPr>
        <w:t>разделения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 вуза.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Статус данной работы (доклад, реферат, эссе и др.).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Тема работы.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Фамилия, Имя и Отчество исполнителя.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Фамилия и инициалы, учёная степень и должность руководителя работы – преподавателя.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Место и год написания работы.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2. План (Содержание) – вторая страница работы, на которой приводится перечень основных </w:t>
      </w:r>
      <w:r w:rsidR="00F50A4F">
        <w:rPr>
          <w:rFonts w:ascii="Times New Roman" w:hAnsi="Times New Roman" w:cs="Times New Roman"/>
          <w:color w:val="000000"/>
          <w:sz w:val="28"/>
          <w:szCs w:val="28"/>
        </w:rPr>
        <w:t>Разделов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 (глав, параграфов и др.) работы с указанием страницы, на которой начинается данная часть работы. Значение этого элемента в том, что он обозначает структуру работы, показывает знание студентом логики, умение проводить такие операции с понятиями, как ограничение, обобщение, деление, классификация.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3. Введение – вводная часть работы, в которой: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– обосновывается актуальность избранной темы (научная, познавательная, практическая);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lastRenderedPageBreak/>
        <w:t>– характеризуется разработанность темы в литературе и даётся краткий ее анализ, отмечается вклад наиболее крупных исследователей в разработку проблематики;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– формулируются цель (определяемая, как правило, исходя из формулировки темы работы) и задачи (формулируемые с учётом названий отдельных глав, </w:t>
      </w:r>
      <w:r w:rsidR="00F50A4F">
        <w:rPr>
          <w:rFonts w:ascii="Times New Roman" w:hAnsi="Times New Roman" w:cs="Times New Roman"/>
          <w:color w:val="000000"/>
          <w:sz w:val="28"/>
          <w:szCs w:val="28"/>
        </w:rPr>
        <w:t>Разделов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>, параграфов работы) работы.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Если тема носит дискуссионный характер, в ней даётся анализ мнений различных авторов, сопоставляются их точки зрения, предлагается своё видение проблемы. 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proofErr w:type="gramStart"/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Основная часть работы, которая может быть структурирована как в виде отдельных глав с разбивкой на параграфы, так и с выделением нескольких </w:t>
      </w:r>
      <w:r w:rsidR="00F50A4F">
        <w:rPr>
          <w:rFonts w:ascii="Times New Roman" w:hAnsi="Times New Roman" w:cs="Times New Roman"/>
          <w:color w:val="000000"/>
          <w:sz w:val="28"/>
          <w:szCs w:val="28"/>
        </w:rPr>
        <w:t>Разделов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 без деления на более мелкие под</w:t>
      </w:r>
      <w:r w:rsidR="003073A1">
        <w:rPr>
          <w:rFonts w:ascii="Times New Roman" w:hAnsi="Times New Roman" w:cs="Times New Roman"/>
          <w:color w:val="000000"/>
          <w:sz w:val="28"/>
          <w:szCs w:val="28"/>
        </w:rPr>
        <w:t xml:space="preserve"> Тем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>ы либо иное.</w:t>
      </w:r>
      <w:proofErr w:type="gramEnd"/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 Выделение отдельных параграфов (</w:t>
      </w:r>
      <w:proofErr w:type="gramStart"/>
      <w:r w:rsidRPr="00AA4442">
        <w:rPr>
          <w:rFonts w:ascii="Times New Roman" w:hAnsi="Times New Roman" w:cs="Times New Roman"/>
          <w:color w:val="000000"/>
          <w:sz w:val="28"/>
          <w:szCs w:val="28"/>
        </w:rPr>
        <w:t>под</w:t>
      </w:r>
      <w:proofErr w:type="gramEnd"/>
      <w:r w:rsidR="003073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50A4F">
        <w:rPr>
          <w:rFonts w:ascii="Times New Roman" w:hAnsi="Times New Roman" w:cs="Times New Roman"/>
          <w:color w:val="000000"/>
          <w:sz w:val="28"/>
          <w:szCs w:val="28"/>
        </w:rPr>
        <w:t>Разделов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>, пунктов и подпунктов) можно использовать не во всех главах (</w:t>
      </w:r>
      <w:r w:rsidR="003073A1">
        <w:rPr>
          <w:rFonts w:ascii="Times New Roman" w:hAnsi="Times New Roman" w:cs="Times New Roman"/>
          <w:color w:val="000000"/>
          <w:sz w:val="28"/>
          <w:szCs w:val="28"/>
        </w:rPr>
        <w:t>Тем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ах). Такое деление должно способствовать более стройному и упорядоченному изложению материала. При этом каждая часть работы должна содержать информацию, логически вписывающуюся в общую структуру работы и способствующую достижению ее целей. 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В основной части содержатся основные теоретические аргументы, логические выводы, обоснование на основе практического опыта, статистические выкладки, результаты, например, социологических исследований (наблюдений, интервью, опросов, изучения документов и т.д.), экспертные оценки. Основная часть работы может содержать таблицы, графики, иллюстрации.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5. Заключение – обобщающая часть работы, содержащая выводы по всему исследованию, самооценку достигнутых результатов. Важно обратить внимание на то, что в заключении акцент должен быть сделан именно на самооценке, т.е. выявлении того, что удалось и что не удалось раскрыть по данной теме, по каким аспектам темы не удалось собрать необходимых фактических данных, какие проблемы имеют неоднозначную трактовку и сохраняют дискуссионный характер. </w:t>
      </w:r>
    </w:p>
    <w:p w:rsidR="005B0079" w:rsidRPr="00AA4442" w:rsidRDefault="005B0079" w:rsidP="00F50A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6. Библиография – список использованных документов и литературы с соответствующим описанием, исходя из установленных требований.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0079" w:rsidRPr="00AA4442" w:rsidRDefault="005B0079" w:rsidP="005B0079">
      <w:pPr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 xml:space="preserve">Реферат может быть зачтён, если его автор обосновал актуальность избранной темы, сформулировал цель и задачи подготовки реферата, проанализировал использованную литературу, последовательно и логично изложил содержание изучаемой проблемы, систематизировал и обобщил использованный материал. Особое внимание обращается на самостоятельный и творческий характер анализа представленного материала, а также на умение научно аргументировать собственную точку зрения, конструктивно </w:t>
      </w:r>
      <w:r w:rsidRPr="00AA4442">
        <w:rPr>
          <w:rFonts w:ascii="Times New Roman" w:hAnsi="Times New Roman" w:cs="Times New Roman"/>
          <w:color w:val="000000"/>
          <w:sz w:val="28"/>
          <w:szCs w:val="28"/>
        </w:rPr>
        <w:lastRenderedPageBreak/>
        <w:t>критиковать иные научные позиции, отвечать на поставленные вопросы аудитории, если предусмотрена публичная защита подготовленной работы.</w:t>
      </w:r>
    </w:p>
    <w:p w:rsidR="005B0079" w:rsidRPr="00AA4442" w:rsidRDefault="005B0079" w:rsidP="005B0079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sz w:val="28"/>
          <w:szCs w:val="28"/>
        </w:rPr>
        <w:t>Самостоятельный характер работы определяется с использованием системы «Антиплагиат»: с этой целью письменный текст выступления и презентация должны быть представлены на проверку на электронный адрес преподавателя за 5 дней до планируемого выступления на семинаре, а проверка на оригинальность текста должна показать результат 60% и выше. При невыполнении данных условий студент не допускается к публичному выступлению, а выполненная в письменной форме работа не оценивается.</w:t>
      </w:r>
    </w:p>
    <w:p w:rsidR="005B0079" w:rsidRPr="00AA4442" w:rsidRDefault="005B0079" w:rsidP="005B0079">
      <w:pPr>
        <w:pStyle w:val="1-"/>
        <w:spacing w:line="360" w:lineRule="auto"/>
        <w:jc w:val="both"/>
        <w:rPr>
          <w:b w:val="0"/>
          <w:color w:val="000000"/>
        </w:rPr>
      </w:pPr>
      <w:r w:rsidRPr="00AA4442">
        <w:rPr>
          <w:b w:val="0"/>
          <w:i/>
          <w:color w:val="000000"/>
        </w:rPr>
        <w:t xml:space="preserve">Презентации </w:t>
      </w:r>
      <w:r w:rsidRPr="00AA4442">
        <w:rPr>
          <w:b w:val="0"/>
          <w:color w:val="000000"/>
        </w:rPr>
        <w:t>рассматриваются как основная составляющая часть подготовленных рефератов и других письменных работ, а также выступлений на семинаре, научной конференции. Они должны соответствовать содержанию рассматриваемой темы, иметь самостоятельный характер, свидетельствовать об умениях и навыках обобщения и систематизации политических процессов, институтов и явлений.</w:t>
      </w:r>
    </w:p>
    <w:p w:rsidR="005B0079" w:rsidRPr="00F50A4F" w:rsidRDefault="005B0079" w:rsidP="005B0079">
      <w:pPr>
        <w:pStyle w:val="2"/>
        <w:keepNext w:val="0"/>
        <w:tabs>
          <w:tab w:val="left" w:pos="1276"/>
        </w:tabs>
        <w:spacing w:line="360" w:lineRule="auto"/>
        <w:ind w:firstLine="709"/>
        <w:rPr>
          <w:b/>
          <w:bCs/>
          <w:i w:val="0"/>
          <w:color w:val="000000"/>
          <w:kern w:val="32"/>
          <w:sz w:val="28"/>
        </w:rPr>
      </w:pPr>
      <w:r w:rsidRPr="00F50A4F">
        <w:rPr>
          <w:b/>
          <w:bCs/>
          <w:i w:val="0"/>
          <w:color w:val="000000"/>
          <w:kern w:val="32"/>
          <w:sz w:val="28"/>
        </w:rPr>
        <w:t>Примерные темы устных докладов и письменных работ</w:t>
      </w:r>
    </w:p>
    <w:p w:rsidR="005B0079" w:rsidRPr="00AA4442" w:rsidRDefault="005B0079" w:rsidP="005B0079">
      <w:pPr>
        <w:widowControl w:val="0"/>
        <w:autoSpaceDE w:val="0"/>
        <w:autoSpaceDN w:val="0"/>
        <w:adjustRightInd w:val="0"/>
        <w:spacing w:before="120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0079" w:rsidRPr="00AA4442" w:rsidRDefault="005B0079" w:rsidP="005B0079">
      <w:pPr>
        <w:pStyle w:val="a3"/>
        <w:autoSpaceDE w:val="0"/>
        <w:autoSpaceDN w:val="0"/>
        <w:adjustRightInd w:val="0"/>
        <w:ind w:left="567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b/>
          <w:i/>
          <w:sz w:val="28"/>
          <w:szCs w:val="28"/>
        </w:rPr>
        <w:t>Темы для рефератов</w:t>
      </w: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</w:t>
      </w:r>
    </w:p>
    <w:p w:rsidR="005B0079" w:rsidRPr="00AA4442" w:rsidRDefault="005B0079" w:rsidP="005B0079">
      <w:pPr>
        <w:pStyle w:val="a3"/>
        <w:autoSpaceDE w:val="0"/>
        <w:autoSpaceDN w:val="0"/>
        <w:adjustRightInd w:val="0"/>
        <w:ind w:left="56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Дискурсивные теории власти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Идеология в системе современного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дискурса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: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деконструктивистский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подход.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Концепция власти-знания М. Фуко и стратегия сетевого действия. 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Общественное мнение как политический феномен в работах П.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Бурдье</w:t>
      </w:r>
      <w:proofErr w:type="spellEnd"/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Проблема осознания национальных интересов в конструктивизме.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Рациональный выбор – общественный выбор: эволюция подходов. 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Эвристики и процесс принятия политических решений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Теория фреймов в политологии: основные направления развития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lastRenderedPageBreak/>
        <w:t xml:space="preserve">Понятие коммуникативной рациональности и его эвристическая роль в современных политических исследованиях (идея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делиберативной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демократии, теорема Томаса  и др.)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Проблема виртуализации политической реальности (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Ги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Дебор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,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Агамбен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,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Делез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>)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Основные идеи современного марксизма о глобальном миропорядке (А. Негри, Р.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Пребиш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,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Валлерстайн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 и другие)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Перспективы «глобального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человейника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>» в интерпретации А.А. Зиновьева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0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Специфика социализма в интерпретации И.Р. Шафаревича</w:t>
      </w:r>
      <w:r w:rsidR="003073A1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numPr>
          <w:ilvl w:val="0"/>
          <w:numId w:val="3"/>
        </w:numPr>
        <w:spacing w:after="0" w:line="240" w:lineRule="auto"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Коммуникативная природа политики (Ю.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Хабермас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, М.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Маклюэн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и др.)</w:t>
      </w:r>
      <w:r w:rsidR="003073A1">
        <w:rPr>
          <w:rFonts w:ascii="Times New Roman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numPr>
          <w:ilvl w:val="0"/>
          <w:numId w:val="3"/>
        </w:numPr>
        <w:spacing w:after="0" w:line="240" w:lineRule="auto"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Применение этологических подходов при анализе политических институтов</w:t>
      </w:r>
      <w:r w:rsidR="003073A1">
        <w:rPr>
          <w:rFonts w:ascii="Times New Roman" w:hAnsi="Times New Roman" w:cs="Times New Roman"/>
          <w:sz w:val="28"/>
          <w:szCs w:val="28"/>
        </w:rPr>
        <w:t>.</w:t>
      </w:r>
    </w:p>
    <w:p w:rsidR="005B0079" w:rsidRPr="00AA4442" w:rsidRDefault="005B0079" w:rsidP="005B0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079" w:rsidRPr="00AA4442" w:rsidRDefault="005B0079" w:rsidP="005B0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079" w:rsidRPr="00AA4442" w:rsidRDefault="005B0079" w:rsidP="00AC005B">
      <w:pPr>
        <w:pStyle w:val="2"/>
        <w:keepNext w:val="0"/>
        <w:numPr>
          <w:ilvl w:val="0"/>
          <w:numId w:val="6"/>
        </w:numPr>
        <w:tabs>
          <w:tab w:val="left" w:pos="1276"/>
        </w:tabs>
        <w:spacing w:line="360" w:lineRule="auto"/>
        <w:rPr>
          <w:b/>
          <w:bCs/>
          <w:i w:val="0"/>
          <w:color w:val="000000"/>
          <w:kern w:val="32"/>
          <w:sz w:val="28"/>
        </w:rPr>
      </w:pPr>
      <w:r w:rsidRPr="00AA4442">
        <w:rPr>
          <w:b/>
          <w:bCs/>
          <w:i w:val="0"/>
          <w:color w:val="000000"/>
          <w:kern w:val="32"/>
          <w:sz w:val="28"/>
        </w:rPr>
        <w:t>Вопросы для проведения текущего контроля и промежуточной аттестации</w:t>
      </w:r>
    </w:p>
    <w:p w:rsidR="005B0079" w:rsidRPr="00AA4442" w:rsidRDefault="005B0079" w:rsidP="005B0079">
      <w:pPr>
        <w:shd w:val="clear" w:color="auto" w:fill="FFFFFF"/>
        <w:ind w:left="567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Каковы ключевые идеи модерна?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В чем суть постмодерна? 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Какие версии постмодерна Вы знаете?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Понятия «информационного» и «цифрового» обществ.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Что такое «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постгуманизм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»?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Что имеют ввиду, когда говорят о «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постпостмодерне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»? 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2127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Назовите основные черты постмодернистской политики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В чем состоят основные идеи «классического структурализма» (В.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Пропп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, К. Леви-Стросс)?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2127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Как Р. Барт анализирует политический миф?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2127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Охарактеризуйте методологический подход к исследованию политики и власти М. Фуко.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 </w:t>
      </w: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Сравните «общество дисциплины» и «общество контроля» в интерпретации М.Фуко</w:t>
      </w:r>
      <w:r w:rsidR="005001AF"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 и Ж. </w:t>
      </w:r>
      <w:proofErr w:type="spellStart"/>
      <w:r w:rsidR="005001AF"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Делеза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Что такое «деконструкция» в интерпретации Ж.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Деррида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? Как связаны феминистский и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постколониальный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дискурс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 с идеями деконструкции?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Как вы понимаете идею «конструктивистского» структурализма П.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Что такое «символическая борьба» и «символическое насилие» в интерпретации П.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Назовите представителей конструктивизма в политической науке. В чем состоит основная идея каждого из этих подходов?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lastRenderedPageBreak/>
        <w:t xml:space="preserve"> В чем основная идея конструктивистского подхода в теории международных отношений? Какие новые аспекты анализа международных отношений позволяет выявить конструктивизм?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Покажите отличия институционального метода от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неоинституционализма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Почему теория рационального выбора трансформировалась в теорию общественного выбора? Какие механизмы </w:t>
      </w:r>
      <w:r w:rsidR="005001AF"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необходимы для эффективного использования общих благ?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Как трактует политику Джон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Роулз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? Как связаны в теории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Роулза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 принципы публичности и справедливости?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Перечислите основные варианты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неоинституционализма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. В чем суть каждого из подходов?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Что такое «когнитивные исследования»? Как связаны когнитивные исследования и когнитивные технологии?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В чем разница интерпретации понятия «фрейм» в концепциях Р.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Шенка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. Гофмана? 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Как  Д.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Канеман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критикует теорию рационального выбора? Что такое «эвристика» по Д.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Канеману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? Представьте некоторые открытые Д.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Канеманом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эвристики.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Что такое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нейроэкономические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нейрополитические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исследования?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Основные понятия системного анализа А.А. Зиновьева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Как А.А. Зиновьев оценивал перестройку и последующую историю России и почему?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Что такое критическо-диалектический метод?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В чем суть теории гегемонии и как она используется в современных коммуникативных подходах?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В чем суть современного общества по Ю.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Хабермасу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?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Что такое «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параллаксное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 видение» в политике, согласно С. </w:t>
      </w:r>
      <w:proofErr w:type="spellStart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Жижеку</w:t>
      </w:r>
      <w:proofErr w:type="spellEnd"/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? 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>Что такое «этология»? Почему политическое поведение может быть предметом этологии? Инстинкт, парламент инстинктов, нейтрализация инстинкта, ритуал с точки зрения К. Лоренца.</w:t>
      </w:r>
    </w:p>
    <w:p w:rsidR="005B0079" w:rsidRPr="00AA4442" w:rsidRDefault="005B0079" w:rsidP="005B0079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1134" w:firstLine="0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  <w:r w:rsidRPr="00AA4442">
        <w:rPr>
          <w:rFonts w:ascii="Times New Roman" w:hAnsi="Times New Roman" w:cs="Times New Roman"/>
          <w:color w:val="000000"/>
          <w:w w:val="103"/>
          <w:sz w:val="28"/>
          <w:szCs w:val="28"/>
        </w:rPr>
        <w:t xml:space="preserve">Динамика лидерства в интерпретации Ф. де Валя </w:t>
      </w:r>
    </w:p>
    <w:p w:rsidR="005001AF" w:rsidRPr="00AA4442" w:rsidRDefault="005001AF" w:rsidP="005001AF">
      <w:pPr>
        <w:pStyle w:val="a3"/>
        <w:shd w:val="clear" w:color="auto" w:fill="FFFFFF"/>
        <w:tabs>
          <w:tab w:val="left" w:pos="1134"/>
        </w:tabs>
        <w:spacing w:after="0" w:line="240" w:lineRule="auto"/>
        <w:ind w:left="1134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</w:p>
    <w:p w:rsidR="005001AF" w:rsidRPr="00AA4442" w:rsidRDefault="005001AF" w:rsidP="005001AF">
      <w:pPr>
        <w:pStyle w:val="a3"/>
        <w:shd w:val="clear" w:color="auto" w:fill="FFFFFF"/>
        <w:tabs>
          <w:tab w:val="left" w:pos="1134"/>
        </w:tabs>
        <w:spacing w:after="0" w:line="240" w:lineRule="auto"/>
        <w:ind w:left="1134"/>
        <w:jc w:val="both"/>
        <w:rPr>
          <w:rFonts w:ascii="Times New Roman" w:hAnsi="Times New Roman" w:cs="Times New Roman"/>
          <w:color w:val="000000"/>
          <w:w w:val="103"/>
          <w:sz w:val="28"/>
          <w:szCs w:val="28"/>
        </w:rPr>
      </w:pPr>
    </w:p>
    <w:p w:rsidR="005B0079" w:rsidRPr="00AA4442" w:rsidRDefault="005B0079" w:rsidP="005B0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10BE" w:rsidRPr="00AA4442" w:rsidRDefault="009910BE" w:rsidP="009910B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A4442">
        <w:rPr>
          <w:rFonts w:ascii="Times New Roman" w:hAnsi="Times New Roman" w:cs="Times New Roman"/>
          <w:b/>
          <w:bCs/>
          <w:sz w:val="28"/>
          <w:szCs w:val="28"/>
        </w:rPr>
        <w:t xml:space="preserve">Рекомендуемая литература 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Агамбен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Дж.</w:t>
      </w:r>
      <w:r w:rsidRPr="00AA4442">
        <w:rPr>
          <w:rStyle w:val="citation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A4442">
        <w:rPr>
          <w:rStyle w:val="citation"/>
          <w:rFonts w:ascii="Times New Roman" w:hAnsi="Times New Roman" w:cs="Times New Roman"/>
          <w:sz w:val="28"/>
          <w:szCs w:val="28"/>
        </w:rPr>
        <w:t>Homo</w:t>
      </w:r>
      <w:proofErr w:type="spellEnd"/>
      <w:r w:rsidRPr="00AA4442">
        <w:rPr>
          <w:rStyle w:val="citation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A4442">
        <w:rPr>
          <w:rStyle w:val="citation"/>
          <w:rFonts w:ascii="Times New Roman" w:hAnsi="Times New Roman" w:cs="Times New Roman"/>
          <w:sz w:val="28"/>
          <w:szCs w:val="28"/>
        </w:rPr>
        <w:t>sacer</w:t>
      </w:r>
      <w:proofErr w:type="spellEnd"/>
      <w:r w:rsidRPr="00AA4442">
        <w:rPr>
          <w:rStyle w:val="citation"/>
          <w:rFonts w:ascii="Times New Roman" w:hAnsi="Times New Roman" w:cs="Times New Roman"/>
          <w:sz w:val="28"/>
          <w:szCs w:val="28"/>
        </w:rPr>
        <w:t>. Суверенная власть и голая жизнь. — М.: «Европа», 2011. </w:t>
      </w:r>
      <w:r w:rsidRPr="00AA44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Адорно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Т.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Хоркхаймер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М. Диалектика Просвещения М., Спб.,1997.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Style w:val="citation"/>
          <w:rFonts w:ascii="Times New Roman" w:eastAsia="HiddenHorzOCR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lastRenderedPageBreak/>
        <w:t>Альтюссер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Л.</w:t>
      </w:r>
      <w:r w:rsidRPr="00AA4442">
        <w:rPr>
          <w:rFonts w:ascii="Times New Roman" w:hAnsi="Times New Roman" w:cs="Times New Roman"/>
          <w:sz w:val="28"/>
          <w:szCs w:val="28"/>
        </w:rPr>
        <w:t xml:space="preserve"> </w:t>
      </w:r>
      <w:r w:rsidRPr="00AA4442">
        <w:rPr>
          <w:rStyle w:val="20"/>
          <w:rFonts w:eastAsiaTheme="minorHAnsi"/>
          <w:i w:val="0"/>
          <w:sz w:val="28"/>
        </w:rPr>
        <w:t xml:space="preserve"> </w:t>
      </w:r>
      <w:hyperlink r:id="rId5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Идеология и идеологические аппараты государства (заметки для исследования)</w:t>
        </w:r>
      </w:hyperlink>
      <w:r w:rsidRPr="00AA4442">
        <w:rPr>
          <w:rStyle w:val="citation"/>
          <w:rFonts w:ascii="Times New Roman" w:hAnsi="Times New Roman" w:cs="Times New Roman"/>
          <w:sz w:val="28"/>
          <w:szCs w:val="28"/>
        </w:rPr>
        <w:t> // Неприкосновенный запас — 2011. — № 3 (77</w:t>
      </w:r>
      <w:r w:rsidRPr="00AA4442">
        <w:rPr>
          <w:rStyle w:val="citation"/>
          <w:rFonts w:ascii="Times New Roman" w:eastAsia="HiddenHorzOCR" w:hAnsi="Times New Roman" w:cs="Times New Roman"/>
          <w:sz w:val="28"/>
          <w:szCs w:val="28"/>
        </w:rPr>
        <w:t>)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Бек У. Общество риска. На пути к другому модерну. М.: Прогресс-Традиция, 2000</w:t>
      </w:r>
    </w:p>
    <w:p w:rsidR="00AA4442" w:rsidRPr="00AA4442" w:rsidRDefault="00AA4442" w:rsidP="00AC005B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Бауман З</w:t>
      </w:r>
      <w:r w:rsidRPr="00AC005B">
        <w:rPr>
          <w:rFonts w:ascii="Times New Roman" w:hAnsi="Times New Roman" w:cs="Times New Roman"/>
          <w:sz w:val="28"/>
          <w:szCs w:val="28"/>
          <w:shd w:val="clear" w:color="auto" w:fill="FFFFFF"/>
        </w:rPr>
        <w:t>.. </w:t>
      </w:r>
      <w:hyperlink r:id="rId6" w:history="1">
        <w:proofErr w:type="spellStart"/>
        <w:r w:rsidRPr="00AC005B">
          <w:rPr>
            <w:sz w:val="28"/>
            <w:szCs w:val="28"/>
            <w:shd w:val="clear" w:color="auto" w:fill="FFFFFF"/>
          </w:rPr>
          <w:t>Ретротопия</w:t>
        </w:r>
        <w:proofErr w:type="spellEnd"/>
      </w:hyperlink>
      <w:r w:rsidRPr="00AC005B">
        <w:rPr>
          <w:rFonts w:ascii="Times New Roman" w:hAnsi="Times New Roman" w:cs="Times New Roman"/>
          <w:sz w:val="28"/>
          <w:szCs w:val="28"/>
          <w:shd w:val="clear" w:color="auto" w:fill="FFFFFF"/>
        </w:rPr>
        <w:t>  — М.: </w:t>
      </w:r>
      <w:hyperlink r:id="rId7" w:history="1">
        <w:r w:rsidRPr="00AC005B">
          <w:rPr>
            <w:sz w:val="28"/>
            <w:szCs w:val="28"/>
            <w:shd w:val="clear" w:color="auto" w:fill="FFFFFF"/>
          </w:rPr>
          <w:t>ВЦИОМ</w:t>
        </w:r>
      </w:hyperlink>
      <w:r w:rsidRPr="00AC005B">
        <w:rPr>
          <w:rFonts w:ascii="Times New Roman" w:hAnsi="Times New Roman" w:cs="Times New Roman"/>
          <w:sz w:val="28"/>
          <w:szCs w:val="28"/>
          <w:shd w:val="clear" w:color="auto" w:fill="FFFFFF"/>
        </w:rPr>
        <w:t>, 2019. .</w:t>
      </w:r>
      <w:r w:rsidRPr="00AA4442">
        <w:rPr>
          <w:rFonts w:ascii="Times New Roman" w:hAnsi="Times New Roman" w:cs="Times New Roman"/>
          <w:color w:val="202122"/>
          <w:sz w:val="21"/>
          <w:szCs w:val="21"/>
        </w:rPr>
        <w:t> </w:t>
      </w:r>
    </w:p>
    <w:p w:rsidR="00AA4442" w:rsidRPr="00AA4442" w:rsidRDefault="00AA4442" w:rsidP="00AC005B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C005B">
        <w:rPr>
          <w:rFonts w:ascii="Times New Roman" w:hAnsi="Times New Roman" w:cs="Times New Roman"/>
          <w:sz w:val="28"/>
          <w:szCs w:val="28"/>
        </w:rPr>
        <w:t>Бауман З. Индивидуализированное общество  — М.: Логос, 2002.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Бодрийар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Ж. </w:t>
      </w:r>
      <w:hyperlink r:id="rId8" w:tooltip="В тени молчаливого большинства, или конец социального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В тени молчаливого большинства, или конец социального</w:t>
        </w:r>
      </w:hyperlink>
      <w:r w:rsidRPr="00AA4442">
        <w:rPr>
          <w:rFonts w:ascii="Times New Roman" w:hAnsi="Times New Roman" w:cs="Times New Roman"/>
          <w:sz w:val="28"/>
          <w:szCs w:val="28"/>
        </w:rPr>
        <w:t>.  Екатеринбург,  Издательство уральского университета,  2000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Бодрийяр Ж. Дух терроризма. Войны в заливе не было. М.: </w:t>
      </w:r>
      <w:proofErr w:type="spellStart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Рипол</w:t>
      </w:r>
      <w:proofErr w:type="spellEnd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Классик, 2016. - 224 с.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Бергер П., Лукман Т.</w:t>
      </w:r>
      <w:r w:rsidRPr="00AA4442">
        <w:rPr>
          <w:rFonts w:ascii="Times New Roman" w:hAnsi="Times New Roman" w:cs="Times New Roman"/>
          <w:sz w:val="28"/>
          <w:szCs w:val="28"/>
        </w:rPr>
        <w:br/>
      </w:r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Социальное конструирование реальности. Трактат по социологии знания — М.: Медиум, 1995. — 323 с.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100" w:beforeAutospacing="1" w:after="100" w:afterAutospacing="1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iCs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iCs/>
          <w:sz w:val="28"/>
          <w:szCs w:val="28"/>
        </w:rPr>
        <w:t xml:space="preserve"> А. Практический смысл.</w:t>
      </w:r>
      <w:r w:rsidRPr="00AA4442">
        <w:rPr>
          <w:rFonts w:ascii="Times New Roman" w:hAnsi="Times New Roman" w:cs="Times New Roman"/>
          <w:sz w:val="28"/>
          <w:szCs w:val="28"/>
        </w:rPr>
        <w:t xml:space="preserve"> М.: Институт экспериментальной социологии; СПб.: </w:t>
      </w:r>
      <w:hyperlink r:id="rId9" w:tooltip="Алетейя (страница отсутствует)" w:history="1">
        <w:proofErr w:type="spellStart"/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Алетейя</w:t>
        </w:r>
        <w:proofErr w:type="spellEnd"/>
      </w:hyperlink>
      <w:r w:rsidRPr="00AA4442">
        <w:rPr>
          <w:rFonts w:ascii="Times New Roman" w:hAnsi="Times New Roman" w:cs="Times New Roman"/>
          <w:sz w:val="28"/>
          <w:szCs w:val="28"/>
        </w:rPr>
        <w:t xml:space="preserve">, 2001. 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П. </w:t>
      </w:r>
      <w:hyperlink r:id="rId10" w:history="1">
        <w:r w:rsidRPr="00AA4442">
          <w:rPr>
            <w:rStyle w:val="a4"/>
            <w:rFonts w:ascii="Times New Roman" w:hAnsi="Times New Roman"/>
            <w:iCs/>
            <w:color w:val="auto"/>
            <w:sz w:val="28"/>
            <w:szCs w:val="28"/>
            <w:u w:val="none"/>
          </w:rPr>
          <w:t>Дух государства: генезис и структура бюрократического поля</w:t>
        </w:r>
      </w:hyperlink>
      <w:r w:rsidRPr="00AA4442">
        <w:rPr>
          <w:rFonts w:ascii="Times New Roman" w:hAnsi="Times New Roman" w:cs="Times New Roman"/>
          <w:sz w:val="28"/>
          <w:szCs w:val="28"/>
        </w:rPr>
        <w:t xml:space="preserve"> / Пер. с фр. // Поэтика и политика. Альманах Российско-французского центра социологии и философии. — М.: Институт экспериментальной социологии]; СПб.: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Алетейя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, 1999. — С. 125—166.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100" w:beforeAutospacing="1" w:after="100" w:afterAutospacing="1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П. </w:t>
      </w:r>
      <w:hyperlink r:id="rId11" w:history="1">
        <w:r w:rsidRPr="00AA4442">
          <w:rPr>
            <w:rStyle w:val="a4"/>
            <w:rFonts w:ascii="Times New Roman" w:hAnsi="Times New Roman"/>
            <w:iCs/>
            <w:color w:val="auto"/>
            <w:sz w:val="28"/>
            <w:szCs w:val="28"/>
            <w:u w:val="none"/>
          </w:rPr>
          <w:t>О телевидении и журналистике</w:t>
        </w:r>
      </w:hyperlink>
      <w:r w:rsidRPr="00AA4442">
        <w:rPr>
          <w:rFonts w:ascii="Times New Roman" w:hAnsi="Times New Roman" w:cs="Times New Roman"/>
          <w:sz w:val="28"/>
          <w:szCs w:val="28"/>
        </w:rPr>
        <w:t>.  М.: Прагматика культуры, 2002.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Бурдье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П. Различие. Социальная критика суждения.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Спб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, 2004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iCs/>
          <w:sz w:val="28"/>
          <w:szCs w:val="28"/>
        </w:rPr>
        <w:t>Валлерстайн</w:t>
      </w:r>
      <w:proofErr w:type="spellEnd"/>
      <w:r w:rsidRPr="00AA4442">
        <w:rPr>
          <w:rFonts w:ascii="Times New Roman" w:hAnsi="Times New Roman" w:cs="Times New Roman"/>
          <w:iCs/>
          <w:sz w:val="28"/>
          <w:szCs w:val="28"/>
        </w:rPr>
        <w:t xml:space="preserve"> И.</w:t>
      </w:r>
      <w:r w:rsidRPr="00AA4442">
        <w:rPr>
          <w:rFonts w:ascii="Times New Roman" w:hAnsi="Times New Roman" w:cs="Times New Roman"/>
          <w:sz w:val="28"/>
          <w:szCs w:val="28"/>
        </w:rPr>
        <w:t xml:space="preserve"> Миро-системный анализ // Время мира. Альманах современных исследований по теоретической истории,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макросоциологии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, геополитике, анализу мировых систем и цивилизаций / Под ред. </w:t>
      </w:r>
      <w:hyperlink r:id="rId12" w:tooltip="Розов, Николай Сергеевич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Н. С. Розова</w:t>
        </w:r>
      </w:hyperlink>
      <w:r w:rsidRPr="00AA4442">
        <w:rPr>
          <w:rFonts w:ascii="Times New Roman" w:hAnsi="Times New Roman" w:cs="Times New Roman"/>
          <w:sz w:val="28"/>
          <w:szCs w:val="28"/>
        </w:rPr>
        <w:t>. Новосибирск, 1998. — Выпуск 1. — С. 105—123.</w:t>
      </w:r>
    </w:p>
    <w:p w:rsidR="009910BE" w:rsidRPr="00AA4442" w:rsidRDefault="009910BE" w:rsidP="009910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442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Валь Ф. де Политики и секс у приматов. М., 2014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Ван Дейк Т. Дискурс и власть: </w:t>
      </w:r>
      <w:hyperlink r:id="rId13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Репрезентация доминирования в языке и коммуникации. Пер. с англ.</w:t>
        </w:r>
      </w:hyperlink>
      <w:r w:rsidRPr="00AA4442">
        <w:rPr>
          <w:rFonts w:ascii="Times New Roman" w:hAnsi="Times New Roman" w:cs="Times New Roman"/>
          <w:sz w:val="28"/>
          <w:szCs w:val="28"/>
        </w:rPr>
        <w:t xml:space="preserve"> Кожемякина Е.А.,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Переверзева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Е.В.,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Аматова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А.М. , М, Книжный дом "ЛИБРОКОМ", URSS, 2013 г.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iCs/>
          <w:sz w:val="28"/>
          <w:szCs w:val="28"/>
        </w:rPr>
        <w:t>Гидденс</w:t>
      </w:r>
      <w:proofErr w:type="spellEnd"/>
      <w:r w:rsidRPr="00AA4442">
        <w:rPr>
          <w:rFonts w:ascii="Times New Roman" w:hAnsi="Times New Roman" w:cs="Times New Roman"/>
          <w:iCs/>
          <w:sz w:val="28"/>
          <w:szCs w:val="28"/>
        </w:rPr>
        <w:t>, Э.</w:t>
      </w:r>
      <w:r w:rsidRPr="00AA4442">
        <w:rPr>
          <w:rFonts w:ascii="Times New Roman" w:hAnsi="Times New Roman" w:cs="Times New Roman"/>
          <w:sz w:val="28"/>
          <w:szCs w:val="28"/>
        </w:rPr>
        <w:t xml:space="preserve"> Устроение общества: Очерк теории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структурации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. — М.: Академический проект, 2003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Гофман И. Анализ фреймов. М., 2005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Джеймисон Ф. Постмодернизм как культурная логика позднего капитализма. М., 2018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Делез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 Ж. Общество контроля//</w:t>
      </w:r>
      <w:r w:rsidRPr="00AA4442">
        <w:rPr>
          <w:rFonts w:ascii="Times New Roman" w:eastAsia="HiddenHorzOCR" w:hAnsi="Times New Roman" w:cs="Times New Roman"/>
          <w:sz w:val="28"/>
          <w:szCs w:val="28"/>
          <w:lang w:val="en-US"/>
        </w:rPr>
        <w:t>Z</w:t>
      </w:r>
      <w:r w:rsidRPr="00AA4442">
        <w:rPr>
          <w:rFonts w:ascii="Times New Roman" w:eastAsia="HiddenHorzOCR" w:hAnsi="Times New Roman" w:cs="Times New Roman"/>
          <w:sz w:val="28"/>
          <w:szCs w:val="28"/>
        </w:rPr>
        <w:t>, 2000, № 1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Деррида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Ж.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Отобиографии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// </w:t>
      </w:r>
      <w:r w:rsidRPr="00AA4442">
        <w:rPr>
          <w:rFonts w:ascii="Times New Roman" w:hAnsi="Times New Roman" w:cs="Times New Roman"/>
          <w:sz w:val="28"/>
          <w:szCs w:val="28"/>
          <w:lang w:val="en-US"/>
        </w:rPr>
        <w:t>Ad</w:t>
      </w:r>
      <w:r w:rsidRPr="00AA44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A4442">
        <w:rPr>
          <w:rFonts w:ascii="Times New Roman" w:hAnsi="Times New Roman" w:cs="Times New Roman"/>
          <w:sz w:val="28"/>
          <w:szCs w:val="28"/>
          <w:lang w:val="en-US"/>
        </w:rPr>
        <w:t>marginem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. М., 1994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Жижек С. Возвышенный объект идеологии. СПб., 1998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Жижек С. Нужно быть полным идиотом, чтобы видеть это//</w:t>
      </w:r>
      <w:r w:rsidRPr="00AA4442">
        <w:rPr>
          <w:rFonts w:ascii="Times New Roman" w:eastAsia="HiddenHorzOCR" w:hAnsi="Times New Roman" w:cs="Times New Roman"/>
          <w:sz w:val="28"/>
          <w:szCs w:val="28"/>
          <w:lang w:val="en-US"/>
        </w:rPr>
        <w:t>Stasis</w:t>
      </w:r>
      <w:r w:rsidRPr="00AA4442">
        <w:rPr>
          <w:rFonts w:ascii="Times New Roman" w:eastAsia="HiddenHorzOCR" w:hAnsi="Times New Roman" w:cs="Times New Roman"/>
          <w:sz w:val="28"/>
          <w:szCs w:val="28"/>
        </w:rPr>
        <w:t>, 2018, № 1, с. 20-34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Style w:val="citation"/>
          <w:rFonts w:ascii="Times New Roman" w:hAnsi="Times New Roman" w:cs="Times New Roman"/>
          <w:iCs/>
          <w:sz w:val="28"/>
          <w:szCs w:val="28"/>
        </w:rPr>
        <w:t>Зиновьев А. А.</w:t>
      </w:r>
      <w:r w:rsidRPr="00AA4442">
        <w:rPr>
          <w:rStyle w:val="citation"/>
          <w:rFonts w:ascii="Times New Roman" w:hAnsi="Times New Roman" w:cs="Times New Roman"/>
          <w:sz w:val="28"/>
          <w:szCs w:val="28"/>
        </w:rPr>
        <w:t xml:space="preserve"> </w:t>
      </w:r>
      <w:hyperlink r:id="rId14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Логическая социология</w:t>
        </w:r>
      </w:hyperlink>
      <w:r w:rsidRPr="00AA4442">
        <w:rPr>
          <w:rStyle w:val="citation"/>
          <w:rFonts w:ascii="Times New Roman" w:hAnsi="Times New Roman" w:cs="Times New Roman"/>
          <w:sz w:val="28"/>
          <w:szCs w:val="28"/>
        </w:rPr>
        <w:t>. — М.: Социум, 2006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Style w:val="citation"/>
          <w:rFonts w:ascii="Times New Roman" w:hAnsi="Times New Roman" w:cs="Times New Roman"/>
          <w:sz w:val="28"/>
          <w:szCs w:val="28"/>
        </w:rPr>
      </w:pPr>
      <w:r w:rsidRPr="00AA4442">
        <w:rPr>
          <w:rStyle w:val="citation"/>
          <w:rFonts w:ascii="Times New Roman" w:hAnsi="Times New Roman" w:cs="Times New Roman"/>
          <w:iCs/>
          <w:sz w:val="28"/>
          <w:szCs w:val="28"/>
        </w:rPr>
        <w:t>Зиновьев А. А.</w:t>
      </w:r>
      <w:r w:rsidRPr="00AA4442">
        <w:rPr>
          <w:rStyle w:val="citation"/>
          <w:rFonts w:ascii="Times New Roman" w:hAnsi="Times New Roman" w:cs="Times New Roman"/>
          <w:sz w:val="28"/>
          <w:szCs w:val="28"/>
        </w:rPr>
        <w:t xml:space="preserve"> </w:t>
      </w:r>
      <w:hyperlink r:id="rId15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На пути к сверхобществу</w:t>
        </w:r>
      </w:hyperlink>
      <w:r w:rsidRPr="00AA4442">
        <w:rPr>
          <w:rStyle w:val="citation"/>
          <w:rFonts w:ascii="Times New Roman" w:hAnsi="Times New Roman" w:cs="Times New Roman"/>
          <w:sz w:val="28"/>
          <w:szCs w:val="28"/>
        </w:rPr>
        <w:t>. — М.: Центрполиграф, 2000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Style w:val="citation"/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Style w:val="citation"/>
          <w:rFonts w:ascii="Times New Roman" w:hAnsi="Times New Roman" w:cs="Times New Roman"/>
          <w:sz w:val="28"/>
          <w:szCs w:val="28"/>
        </w:rPr>
        <w:lastRenderedPageBreak/>
        <w:t>Инглхарт</w:t>
      </w:r>
      <w:proofErr w:type="spellEnd"/>
      <w:r w:rsidRPr="00AA4442">
        <w:rPr>
          <w:rStyle w:val="citation"/>
          <w:rFonts w:ascii="Times New Roman" w:hAnsi="Times New Roman" w:cs="Times New Roman"/>
          <w:sz w:val="28"/>
          <w:szCs w:val="28"/>
        </w:rPr>
        <w:t xml:space="preserve"> Р. Культурная эволюция. М., 2017</w:t>
      </w:r>
    </w:p>
    <w:p w:rsidR="009910BE" w:rsidRPr="00AA4442" w:rsidRDefault="009910BE" w:rsidP="009910BE">
      <w:pPr>
        <w:numPr>
          <w:ilvl w:val="0"/>
          <w:numId w:val="1"/>
        </w:numPr>
        <w:shd w:val="clear" w:color="auto" w:fill="FFFFFF"/>
        <w:tabs>
          <w:tab w:val="left" w:pos="9356"/>
        </w:tabs>
        <w:spacing w:before="75" w:after="150" w:line="240" w:lineRule="auto"/>
        <w:ind w:left="714" w:right="-1" w:hanging="35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Канеман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Д., Думай медленно, решай быстро. М.,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Аст-пресс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, 2014</w:t>
      </w:r>
    </w:p>
    <w:p w:rsidR="009910BE" w:rsidRPr="00AA4442" w:rsidRDefault="009910BE" w:rsidP="009910BE">
      <w:pPr>
        <w:numPr>
          <w:ilvl w:val="0"/>
          <w:numId w:val="1"/>
        </w:numPr>
        <w:shd w:val="clear" w:color="auto" w:fill="FFFFFF"/>
        <w:tabs>
          <w:tab w:val="left" w:pos="9356"/>
        </w:tabs>
        <w:spacing w:before="75"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Ка</w:t>
      </w:r>
      <w:r w:rsidRPr="00AA4442">
        <w:rPr>
          <w:rFonts w:ascii="Times New Roman" w:hAnsi="Times New Roman" w:cs="Times New Roman"/>
          <w:bCs/>
          <w:sz w:val="28"/>
          <w:szCs w:val="28"/>
        </w:rPr>
        <w:t>неман</w:t>
      </w:r>
      <w:proofErr w:type="spellEnd"/>
      <w:r w:rsidRPr="00AA4442">
        <w:rPr>
          <w:rFonts w:ascii="Times New Roman" w:hAnsi="Times New Roman" w:cs="Times New Roman"/>
          <w:bCs/>
          <w:sz w:val="28"/>
          <w:szCs w:val="28"/>
        </w:rPr>
        <w:t xml:space="preserve"> Д., </w:t>
      </w:r>
      <w:proofErr w:type="spellStart"/>
      <w:r w:rsidRPr="00AA4442">
        <w:rPr>
          <w:rFonts w:ascii="Times New Roman" w:hAnsi="Times New Roman" w:cs="Times New Roman"/>
          <w:bCs/>
          <w:sz w:val="28"/>
          <w:szCs w:val="28"/>
        </w:rPr>
        <w:t>Словик</w:t>
      </w:r>
      <w:proofErr w:type="spellEnd"/>
      <w:r w:rsidRPr="00AA4442">
        <w:rPr>
          <w:rFonts w:ascii="Times New Roman" w:hAnsi="Times New Roman" w:cs="Times New Roman"/>
          <w:bCs/>
          <w:sz w:val="28"/>
          <w:szCs w:val="28"/>
        </w:rPr>
        <w:t xml:space="preserve"> П., </w:t>
      </w:r>
      <w:proofErr w:type="spellStart"/>
      <w:r w:rsidRPr="00AA4442">
        <w:rPr>
          <w:rFonts w:ascii="Times New Roman" w:hAnsi="Times New Roman" w:cs="Times New Roman"/>
          <w:bCs/>
          <w:sz w:val="28"/>
          <w:szCs w:val="28"/>
        </w:rPr>
        <w:t>Тверски</w:t>
      </w:r>
      <w:proofErr w:type="spellEnd"/>
      <w:r w:rsidRPr="00AA4442">
        <w:rPr>
          <w:rFonts w:ascii="Times New Roman" w:hAnsi="Times New Roman" w:cs="Times New Roman"/>
          <w:bCs/>
          <w:sz w:val="28"/>
          <w:szCs w:val="28"/>
        </w:rPr>
        <w:t xml:space="preserve"> А. Принятие решений в условиях неопределенности: правила и предубеждения. Харьков, 2005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Лакофф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Дж., Джонсон М. Метафоры, которыми мы живем. М., 2004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Лиотар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Ф. Состояние постмодерна. М., Институт экспериментальной социологии; СПб.,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Алетейя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, 1998 </w:t>
      </w:r>
    </w:p>
    <w:p w:rsidR="009910BE" w:rsidRPr="00AA4442" w:rsidRDefault="009910BE" w:rsidP="009910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442">
        <w:rPr>
          <w:rFonts w:ascii="Times New Roman" w:eastAsia="Times New Roman" w:hAnsi="Times New Roman" w:cs="Times New Roman"/>
          <w:sz w:val="28"/>
          <w:szCs w:val="28"/>
          <w:lang w:eastAsia="ru-RU"/>
        </w:rPr>
        <w:t>Лоренц К. Агрессия (так называемое зло). М., 1991</w:t>
      </w:r>
    </w:p>
    <w:p w:rsidR="009910BE" w:rsidRPr="00AA4442" w:rsidRDefault="009910BE" w:rsidP="009910BE">
      <w:pPr>
        <w:numPr>
          <w:ilvl w:val="0"/>
          <w:numId w:val="1"/>
        </w:numPr>
        <w:overflowPunct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Мангейм Дж. Б., Рич Р. К. Политология. Методы исследования. М., 1999.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Маркузе Г. Одномерный человек М..1994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Негри А. ,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Хардт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М. Империя (фрагменты)//Отечественные записки, 2003,  № 6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Норт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Д. </w:t>
      </w:r>
      <w:hyperlink r:id="rId16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Возвышение западного мира</w:t>
        </w:r>
      </w:hyperlink>
      <w:r w:rsidRPr="00AA4442">
        <w:rPr>
          <w:rFonts w:ascii="Times New Roman" w:hAnsi="Times New Roman" w:cs="Times New Roman"/>
          <w:sz w:val="28"/>
          <w:szCs w:val="28"/>
        </w:rPr>
        <w:t> // </w:t>
      </w:r>
      <w:hyperlink r:id="rId17" w:tooltip="Вестник Санкт-Петербургского университета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Вестник Санкт-Петербургского университета</w:t>
        </w:r>
      </w:hyperlink>
      <w:r w:rsidRPr="00AA4442">
        <w:rPr>
          <w:rFonts w:ascii="Times New Roman" w:hAnsi="Times New Roman" w:cs="Times New Roman"/>
          <w:sz w:val="28"/>
          <w:szCs w:val="28"/>
        </w:rPr>
        <w:t xml:space="preserve">. Сер. 5, Экономика. — СПб., 2007. —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>. 4.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Олсон М.</w:t>
      </w:r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Диктатура, демократия и развитие//Экономическая политика, 2010, №1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Остром Э. </w:t>
      </w:r>
      <w:r w:rsidRPr="00AA4442">
        <w:rPr>
          <w:rFonts w:ascii="Times New Roman" w:hAnsi="Times New Roman" w:cs="Times New Roman"/>
          <w:sz w:val="28"/>
          <w:szCs w:val="28"/>
        </w:rPr>
        <w:t xml:space="preserve">Управляя общим. Эволюция институтов коллективной деятельности. — М.: </w:t>
      </w:r>
      <w:hyperlink r:id="rId18" w:tooltip="Мысль (издательство, Москва)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Мысль</w:t>
        </w:r>
      </w:hyperlink>
      <w:r w:rsidRPr="00AA4442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 w:tooltip="ИРИСЭН (страница отсутствует)" w:history="1">
        <w:r w:rsidRPr="00AA4442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ИРИСЭН</w:t>
        </w:r>
      </w:hyperlink>
      <w:r w:rsidRPr="00AA4442">
        <w:rPr>
          <w:rFonts w:ascii="Times New Roman" w:hAnsi="Times New Roman" w:cs="Times New Roman"/>
          <w:sz w:val="28"/>
          <w:szCs w:val="28"/>
        </w:rPr>
        <w:t>, 2011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Политическая наука: новые направления. Вече, М., 1999</w:t>
      </w:r>
    </w:p>
    <w:p w:rsidR="009910BE" w:rsidRPr="00AA4442" w:rsidRDefault="009910BE" w:rsidP="009910B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proofErr w:type="spellStart"/>
      <w:r w:rsidRPr="00AA4442">
        <w:rPr>
          <w:rFonts w:ascii="Times New Roman" w:eastAsia="SimSun" w:hAnsi="Times New Roman" w:cs="Times New Roman"/>
          <w:sz w:val="28"/>
          <w:szCs w:val="28"/>
          <w:lang w:eastAsia="zh-CN"/>
        </w:rPr>
        <w:t>Роулз</w:t>
      </w:r>
      <w:proofErr w:type="spellEnd"/>
      <w:r w:rsidRPr="00AA4442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Дж. Теория справедливости. Новосибирск, 1995.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Теория и методы в современной политической науке: Первая попытка теоретического синтеза / Под ред. С.У. Ларсена. М., РОССПЭН, 2009.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Фуко М. Археология знания. Киев, 1996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>Фуко М. Надзирать и наказывать. СПб., 2001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>Фуко М. Порядок дискурса</w:t>
      </w:r>
      <w:r w:rsidRPr="00AA4442">
        <w:rPr>
          <w:rFonts w:ascii="Times New Roman" w:hAnsi="Times New Roman" w:cs="Times New Roman"/>
          <w:sz w:val="28"/>
          <w:szCs w:val="28"/>
        </w:rPr>
        <w:t xml:space="preserve"> в сб.: </w:t>
      </w:r>
      <w:r w:rsidRPr="00AA4442">
        <w:rPr>
          <w:rStyle w:val="a5"/>
          <w:rFonts w:ascii="Times New Roman" w:hAnsi="Times New Roman" w:cs="Times New Roman"/>
          <w:sz w:val="28"/>
          <w:szCs w:val="28"/>
        </w:rPr>
        <w:t xml:space="preserve">Фуко М. </w:t>
      </w:r>
      <w:r w:rsidRPr="00AA4442">
        <w:rPr>
          <w:rFonts w:ascii="Times New Roman" w:hAnsi="Times New Roman" w:cs="Times New Roman"/>
          <w:sz w:val="28"/>
          <w:szCs w:val="28"/>
        </w:rPr>
        <w:t>Воля к истине: По ту сторону знания, власти и сексуальности. М., 1996. С. 47—96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Фуко М. Рождение </w:t>
      </w:r>
      <w:proofErr w:type="spellStart"/>
      <w:r w:rsidRPr="00AA4442">
        <w:rPr>
          <w:rFonts w:ascii="Times New Roman" w:eastAsia="HiddenHorzOCR" w:hAnsi="Times New Roman" w:cs="Times New Roman"/>
          <w:sz w:val="28"/>
          <w:szCs w:val="28"/>
        </w:rPr>
        <w:t>биополитики</w:t>
      </w:r>
      <w:proofErr w:type="spellEnd"/>
      <w:r w:rsidRPr="00AA4442">
        <w:rPr>
          <w:rFonts w:ascii="Times New Roman" w:eastAsia="HiddenHorzOCR" w:hAnsi="Times New Roman" w:cs="Times New Roman"/>
          <w:sz w:val="28"/>
          <w:szCs w:val="28"/>
        </w:rPr>
        <w:t xml:space="preserve">. </w:t>
      </w:r>
      <w:r w:rsidRPr="00AA4442">
        <w:rPr>
          <w:rFonts w:ascii="Times New Roman" w:hAnsi="Times New Roman" w:cs="Times New Roman"/>
          <w:sz w:val="28"/>
          <w:szCs w:val="28"/>
        </w:rPr>
        <w:t>Курс лекций, прочитанных в Колледже де Франс в 1978—1979 уч. Году.  СПб.: Наука, 2010</w:t>
      </w:r>
    </w:p>
    <w:p w:rsidR="009910BE" w:rsidRPr="00AA4442" w:rsidRDefault="009910BE" w:rsidP="009910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iCs/>
          <w:sz w:val="28"/>
          <w:szCs w:val="28"/>
        </w:rPr>
        <w:t>Хабермас</w:t>
      </w:r>
      <w:proofErr w:type="spellEnd"/>
      <w:r w:rsidRPr="00AA4442">
        <w:rPr>
          <w:rFonts w:ascii="Times New Roman" w:hAnsi="Times New Roman" w:cs="Times New Roman"/>
          <w:iCs/>
          <w:sz w:val="28"/>
          <w:szCs w:val="28"/>
        </w:rPr>
        <w:t xml:space="preserve"> Ю.</w:t>
      </w:r>
      <w:r w:rsidRPr="00AA4442">
        <w:rPr>
          <w:rFonts w:ascii="Times New Roman" w:hAnsi="Times New Roman" w:cs="Times New Roman"/>
          <w:sz w:val="28"/>
          <w:szCs w:val="28"/>
        </w:rPr>
        <w:t xml:space="preserve"> Проблема легитимации позднего капитализма. — М.: Праксис, 2010.</w:t>
      </w:r>
    </w:p>
    <w:p w:rsidR="009910BE" w:rsidRPr="00AA4442" w:rsidRDefault="009910BE" w:rsidP="009910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iCs/>
          <w:sz w:val="28"/>
          <w:szCs w:val="28"/>
        </w:rPr>
        <w:t>Хабермас</w:t>
      </w:r>
      <w:proofErr w:type="spellEnd"/>
      <w:r w:rsidRPr="00AA4442">
        <w:rPr>
          <w:rFonts w:ascii="Times New Roman" w:hAnsi="Times New Roman" w:cs="Times New Roman"/>
          <w:iCs/>
          <w:sz w:val="28"/>
          <w:szCs w:val="28"/>
        </w:rPr>
        <w:t xml:space="preserve"> Ю.</w:t>
      </w:r>
      <w:r w:rsidRPr="00AA4442">
        <w:rPr>
          <w:rFonts w:ascii="Times New Roman" w:hAnsi="Times New Roman" w:cs="Times New Roman"/>
          <w:sz w:val="28"/>
          <w:szCs w:val="28"/>
        </w:rPr>
        <w:t xml:space="preserve"> Философский дискурс о модерне / М.: Весь мир, 2003.</w:t>
      </w:r>
    </w:p>
    <w:p w:rsidR="009910BE" w:rsidRPr="00AA4442" w:rsidRDefault="009910BE" w:rsidP="009910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Хабермас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Ю. </w:t>
      </w:r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Теория коммуникативной деятельности: Том 1. Рациональность действия и социальная рационализация; Том 2. К критике </w:t>
      </w:r>
      <w:proofErr w:type="spellStart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функционалистского</w:t>
      </w:r>
      <w:proofErr w:type="spellEnd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разума  – Москва: Издательство «Весь Мир», 2022. – 880 </w:t>
      </w:r>
      <w:proofErr w:type="gramStart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AA444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AA44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Хаузер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М. Мораль и разум. Как природа создала наше универсальное чувство добра и зла. М., 2008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Шафаревич И.Р. Социализм как явление мировой истории//Полн. собр.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соч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в 6-ти тт., т. 1</w:t>
      </w:r>
    </w:p>
    <w:p w:rsidR="009910BE" w:rsidRPr="00AA4442" w:rsidRDefault="009910BE" w:rsidP="009910B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442">
        <w:rPr>
          <w:rFonts w:ascii="Times New Roman" w:hAnsi="Times New Roman" w:cs="Times New Roman"/>
          <w:sz w:val="28"/>
          <w:szCs w:val="28"/>
        </w:rPr>
        <w:t xml:space="preserve">Шафаревич И.Р. Русский вопрос// Полн. собр. </w:t>
      </w:r>
      <w:proofErr w:type="spellStart"/>
      <w:r w:rsidRPr="00AA4442">
        <w:rPr>
          <w:rFonts w:ascii="Times New Roman" w:hAnsi="Times New Roman" w:cs="Times New Roman"/>
          <w:sz w:val="28"/>
          <w:szCs w:val="28"/>
        </w:rPr>
        <w:t>соч</w:t>
      </w:r>
      <w:proofErr w:type="spellEnd"/>
      <w:r w:rsidRPr="00AA4442">
        <w:rPr>
          <w:rFonts w:ascii="Times New Roman" w:hAnsi="Times New Roman" w:cs="Times New Roman"/>
          <w:sz w:val="28"/>
          <w:szCs w:val="28"/>
        </w:rPr>
        <w:t xml:space="preserve"> в 6-ти тт., т. 2</w:t>
      </w:r>
    </w:p>
    <w:p w:rsidR="00CA40B2" w:rsidRPr="00AA4442" w:rsidRDefault="00CA40B2" w:rsidP="00CA40B2">
      <w:pPr>
        <w:rPr>
          <w:rFonts w:ascii="Times New Roman" w:hAnsi="Times New Roman" w:cs="Times New Roman"/>
          <w:sz w:val="28"/>
          <w:szCs w:val="28"/>
        </w:rPr>
      </w:pPr>
    </w:p>
    <w:p w:rsidR="004404AD" w:rsidRPr="00AA4442" w:rsidRDefault="004404AD">
      <w:pPr>
        <w:rPr>
          <w:rFonts w:ascii="Times New Roman" w:hAnsi="Times New Roman" w:cs="Times New Roman"/>
          <w:sz w:val="28"/>
          <w:szCs w:val="28"/>
        </w:rPr>
      </w:pPr>
    </w:p>
    <w:sectPr w:rsidR="004404AD" w:rsidRPr="00AA4442" w:rsidSect="00595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A0817"/>
    <w:multiLevelType w:val="hybridMultilevel"/>
    <w:tmpl w:val="2FE27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C4C178A"/>
    <w:multiLevelType w:val="multilevel"/>
    <w:tmpl w:val="8FC85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DC5A85"/>
    <w:multiLevelType w:val="hybridMultilevel"/>
    <w:tmpl w:val="EF9A6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BF04101"/>
    <w:multiLevelType w:val="hybridMultilevel"/>
    <w:tmpl w:val="B96C1732"/>
    <w:lvl w:ilvl="0" w:tplc="AB8A3B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3B722DD"/>
    <w:multiLevelType w:val="hybridMultilevel"/>
    <w:tmpl w:val="707A78D8"/>
    <w:lvl w:ilvl="0" w:tplc="0419000F">
      <w:start w:val="1"/>
      <w:numFmt w:val="decimal"/>
      <w:lvlText w:val="%1."/>
      <w:lvlJc w:val="left"/>
      <w:pPr>
        <w:ind w:left="2133" w:hanging="360"/>
      </w:pPr>
    </w:lvl>
    <w:lvl w:ilvl="1" w:tplc="04190019" w:tentative="1">
      <w:start w:val="1"/>
      <w:numFmt w:val="lowerLetter"/>
      <w:lvlText w:val="%2."/>
      <w:lvlJc w:val="left"/>
      <w:pPr>
        <w:ind w:left="2853" w:hanging="360"/>
      </w:pPr>
    </w:lvl>
    <w:lvl w:ilvl="2" w:tplc="0419001B" w:tentative="1">
      <w:start w:val="1"/>
      <w:numFmt w:val="lowerRoman"/>
      <w:lvlText w:val="%3."/>
      <w:lvlJc w:val="right"/>
      <w:pPr>
        <w:ind w:left="3573" w:hanging="180"/>
      </w:pPr>
    </w:lvl>
    <w:lvl w:ilvl="3" w:tplc="0419000F" w:tentative="1">
      <w:start w:val="1"/>
      <w:numFmt w:val="decimal"/>
      <w:lvlText w:val="%4."/>
      <w:lvlJc w:val="left"/>
      <w:pPr>
        <w:ind w:left="4293" w:hanging="360"/>
      </w:pPr>
    </w:lvl>
    <w:lvl w:ilvl="4" w:tplc="04190019" w:tentative="1">
      <w:start w:val="1"/>
      <w:numFmt w:val="lowerLetter"/>
      <w:lvlText w:val="%5."/>
      <w:lvlJc w:val="left"/>
      <w:pPr>
        <w:ind w:left="5013" w:hanging="360"/>
      </w:pPr>
    </w:lvl>
    <w:lvl w:ilvl="5" w:tplc="0419001B" w:tentative="1">
      <w:start w:val="1"/>
      <w:numFmt w:val="lowerRoman"/>
      <w:lvlText w:val="%6."/>
      <w:lvlJc w:val="right"/>
      <w:pPr>
        <w:ind w:left="5733" w:hanging="180"/>
      </w:pPr>
    </w:lvl>
    <w:lvl w:ilvl="6" w:tplc="0419000F" w:tentative="1">
      <w:start w:val="1"/>
      <w:numFmt w:val="decimal"/>
      <w:lvlText w:val="%7."/>
      <w:lvlJc w:val="left"/>
      <w:pPr>
        <w:ind w:left="6453" w:hanging="360"/>
      </w:pPr>
    </w:lvl>
    <w:lvl w:ilvl="7" w:tplc="04190019" w:tentative="1">
      <w:start w:val="1"/>
      <w:numFmt w:val="lowerLetter"/>
      <w:lvlText w:val="%8."/>
      <w:lvlJc w:val="left"/>
      <w:pPr>
        <w:ind w:left="7173" w:hanging="360"/>
      </w:pPr>
    </w:lvl>
    <w:lvl w:ilvl="8" w:tplc="0419001B" w:tentative="1">
      <w:start w:val="1"/>
      <w:numFmt w:val="lowerRoman"/>
      <w:lvlText w:val="%9."/>
      <w:lvlJc w:val="right"/>
      <w:pPr>
        <w:ind w:left="7893" w:hanging="180"/>
      </w:pPr>
    </w:lvl>
  </w:abstractNum>
  <w:abstractNum w:abstractNumId="5">
    <w:nsid w:val="66965188"/>
    <w:multiLevelType w:val="hybridMultilevel"/>
    <w:tmpl w:val="974E2EA2"/>
    <w:lvl w:ilvl="0" w:tplc="D27ED9E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40B2"/>
    <w:rsid w:val="00096CFF"/>
    <w:rsid w:val="000A19C7"/>
    <w:rsid w:val="0017549B"/>
    <w:rsid w:val="003073A1"/>
    <w:rsid w:val="00324960"/>
    <w:rsid w:val="0037099C"/>
    <w:rsid w:val="003965D4"/>
    <w:rsid w:val="004404AD"/>
    <w:rsid w:val="004D506F"/>
    <w:rsid w:val="005001AF"/>
    <w:rsid w:val="00567F9B"/>
    <w:rsid w:val="005B0079"/>
    <w:rsid w:val="006B328F"/>
    <w:rsid w:val="0089056B"/>
    <w:rsid w:val="009910BE"/>
    <w:rsid w:val="009D65B6"/>
    <w:rsid w:val="00AA4442"/>
    <w:rsid w:val="00AC005B"/>
    <w:rsid w:val="00B01A62"/>
    <w:rsid w:val="00CA40B2"/>
    <w:rsid w:val="00D13E50"/>
    <w:rsid w:val="00F50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B2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CA40B2"/>
    <w:pPr>
      <w:keepNext/>
      <w:spacing w:after="0" w:line="240" w:lineRule="auto"/>
      <w:ind w:firstLine="540"/>
      <w:jc w:val="both"/>
      <w:outlineLvl w:val="1"/>
    </w:pPr>
    <w:rPr>
      <w:rFonts w:ascii="Times New Roman" w:eastAsia="Times New Roman" w:hAnsi="Times New Roman" w:cs="Times New Roman"/>
      <w:i/>
      <w:i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A40B2"/>
    <w:rPr>
      <w:rFonts w:ascii="Times New Roman" w:eastAsia="Times New Roman" w:hAnsi="Times New Roman" w:cs="Times New Roman"/>
      <w:i/>
      <w:iCs/>
      <w:sz w:val="24"/>
      <w:szCs w:val="28"/>
    </w:rPr>
  </w:style>
  <w:style w:type="paragraph" w:styleId="21">
    <w:name w:val="Body Text Indent 2"/>
    <w:basedOn w:val="a"/>
    <w:link w:val="22"/>
    <w:rsid w:val="00CA40B2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iCs/>
      <w:sz w:val="24"/>
      <w:szCs w:val="28"/>
    </w:rPr>
  </w:style>
  <w:style w:type="character" w:customStyle="1" w:styleId="22">
    <w:name w:val="Основной текст с отступом 2 Знак"/>
    <w:basedOn w:val="a0"/>
    <w:link w:val="21"/>
    <w:rsid w:val="00CA40B2"/>
    <w:rPr>
      <w:rFonts w:ascii="Times New Roman" w:eastAsia="Times New Roman" w:hAnsi="Times New Roman" w:cs="Times New Roman"/>
      <w:i/>
      <w:iCs/>
      <w:sz w:val="24"/>
      <w:szCs w:val="28"/>
    </w:rPr>
  </w:style>
  <w:style w:type="paragraph" w:styleId="a3">
    <w:name w:val="List Paragraph"/>
    <w:basedOn w:val="a"/>
    <w:uiPriority w:val="34"/>
    <w:qFormat/>
    <w:rsid w:val="00CA40B2"/>
    <w:pPr>
      <w:ind w:left="720"/>
      <w:contextualSpacing/>
    </w:pPr>
  </w:style>
  <w:style w:type="character" w:styleId="a4">
    <w:name w:val="Hyperlink"/>
    <w:basedOn w:val="a0"/>
    <w:uiPriority w:val="99"/>
    <w:rsid w:val="00CA40B2"/>
    <w:rPr>
      <w:rFonts w:cs="Times New Roman"/>
      <w:color w:val="0000FF"/>
      <w:u w:val="single"/>
    </w:rPr>
  </w:style>
  <w:style w:type="character" w:styleId="a5">
    <w:name w:val="Emphasis"/>
    <w:basedOn w:val="a0"/>
    <w:uiPriority w:val="20"/>
    <w:qFormat/>
    <w:rsid w:val="00CA40B2"/>
    <w:rPr>
      <w:i/>
      <w:iCs/>
    </w:rPr>
  </w:style>
  <w:style w:type="character" w:customStyle="1" w:styleId="citation">
    <w:name w:val="citation"/>
    <w:basedOn w:val="a0"/>
    <w:rsid w:val="00CA40B2"/>
  </w:style>
  <w:style w:type="paragraph" w:customStyle="1" w:styleId="1-">
    <w:name w:val="Стиль Стиль Заголовок 1 + Темно-красный не все прописные + не все п..."/>
    <w:basedOn w:val="a"/>
    <w:rsid w:val="005B0079"/>
    <w:pPr>
      <w:widowControl w:val="0"/>
      <w:numPr>
        <w:ilvl w:val="12"/>
      </w:numPr>
      <w:overflowPunct w:val="0"/>
      <w:autoSpaceDE w:val="0"/>
      <w:autoSpaceDN w:val="0"/>
      <w:adjustRightInd w:val="0"/>
      <w:spacing w:after="0" w:line="240" w:lineRule="auto"/>
      <w:ind w:firstLine="709"/>
      <w:textAlignment w:val="baseline"/>
      <w:outlineLvl w:val="3"/>
    </w:pPr>
    <w:rPr>
      <w:rFonts w:ascii="Times New Roman" w:eastAsia="Times New Roman" w:hAnsi="Times New Roman" w:cs="Times New Roman"/>
      <w:b/>
      <w:bCs/>
      <w:color w:val="8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40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2_%D1%82%D0%B5%D0%BD%D0%B8_%D0%BC%D0%BE%D0%BB%D1%87%D0%B0%D0%BB%D0%B8%D0%B2%D0%BE%D0%B3%D0%BE_%D0%B1%D0%BE%D0%BB%D1%8C%D1%88%D0%B8%D0%BD%D1%81%D1%82%D0%B2%D0%B0,_%D0%B8%D0%BB%D0%B8_%D0%BA%D0%BE%D0%BD%D0%B5%D1%86_%D1%81%D0%BE%D1%86%D0%B8%D0%B0%D0%BB%D1%8C%D0%BD%D0%BE%D0%B3%D0%BE" TargetMode="External"/><Relationship Id="rId13" Type="http://schemas.openxmlformats.org/officeDocument/2006/relationships/hyperlink" Target="http://urss.ru/cgi-bin/db.pl?page=Book&amp;lang=Ru&amp;blang=ru&amp;id=169469" TargetMode="External"/><Relationship Id="rId18" Type="http://schemas.openxmlformats.org/officeDocument/2006/relationships/hyperlink" Target="https://ru.wikipedia.org/wiki/%D0%9C%D1%8B%D1%81%D0%BB%D1%8C_(%D0%B8%D0%B7%D0%B4%D0%B0%D1%82%D0%B5%D0%BB%D1%8C%D1%81%D1%82%D0%B2%D0%BE,_%D0%9C%D0%BE%D1%81%D0%BA%D0%B2%D0%B0)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ciom.ru/nauka_i_obrazovanie/izdanija_publikacii/knigi/" TargetMode="External"/><Relationship Id="rId12" Type="http://schemas.openxmlformats.org/officeDocument/2006/relationships/hyperlink" Target="https://ru.wikipedia.org/wiki/%D0%A0%D0%BE%D0%B7%D0%BE%D0%B2,_%D0%9D%D0%B8%D0%BA%D0%BE%D0%BB%D0%B0%D0%B9_%D0%A1%D0%B5%D1%80%D0%B3%D0%B5%D0%B5%D0%B2%D0%B8%D1%87" TargetMode="External"/><Relationship Id="rId17" Type="http://schemas.openxmlformats.org/officeDocument/2006/relationships/hyperlink" Target="https://ru.wikipedia.org/wiki/%D0%92%D0%B5%D1%81%D1%82%D0%BD%D0%B8%D0%BA_%D0%A1%D0%B0%D0%BD%D0%BA%D1%82-%D0%9F%D0%B5%D1%82%D0%B5%D1%80%D0%B1%D1%83%D1%80%D0%B3%D1%81%D0%BA%D0%BE%D0%B3%D0%BE_%D1%83%D0%BD%D0%B8%D0%B2%D0%B5%D1%80%D1%81%D0%B8%D1%82%D0%B5%D1%82%D0%B0" TargetMode="External"/><Relationship Id="rId2" Type="http://schemas.openxmlformats.org/officeDocument/2006/relationships/styles" Target="styles.xml"/><Relationship Id="rId16" Type="http://schemas.openxmlformats.org/officeDocument/2006/relationships/hyperlink" Target="https://economicsjournal.spbu.ru/article/view/3929/3505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ciom.ru/nauka_i_obrazovanie/izdanija_publikacii/knigi/knigi/retrotopija/" TargetMode="External"/><Relationship Id="rId11" Type="http://schemas.openxmlformats.org/officeDocument/2006/relationships/hyperlink" Target="http://bourdieu.name/content/o-televidenii-i-zhurnalistike" TargetMode="External"/><Relationship Id="rId5" Type="http://schemas.openxmlformats.org/officeDocument/2006/relationships/hyperlink" Target="http://magazines.russ.ru/nz/2011/3/al3.html" TargetMode="External"/><Relationship Id="rId15" Type="http://schemas.openxmlformats.org/officeDocument/2006/relationships/hyperlink" Target="http://www.zinoviev.ru/ru/zinoviev/zinoviev-sverch.pdf" TargetMode="External"/><Relationship Id="rId10" Type="http://schemas.openxmlformats.org/officeDocument/2006/relationships/hyperlink" Target="http://bourdieu.name/content/duh-gosudarstva-genezis-i-struktura-bjurokraticheskogo-polja" TargetMode="External"/><Relationship Id="rId19" Type="http://schemas.openxmlformats.org/officeDocument/2006/relationships/hyperlink" Target="https://ru.wikipedia.org/w/index.php?title=%D0%98%D0%A0%D0%98%D0%A1%D0%AD%D0%9D&amp;action=edit&amp;redlink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/index.php?title=%D0%90%D0%BB%D0%B5%D1%82%D0%B5%D0%B9%D1%8F&amp;action=edit&amp;redlink=1" TargetMode="External"/><Relationship Id="rId14" Type="http://schemas.openxmlformats.org/officeDocument/2006/relationships/hyperlink" Target="http://www.zinoviev.ru/ru/zinoviev/text2logic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8</Pages>
  <Words>2527</Words>
  <Characters>14407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Дмитриевна Артамонова</dc:creator>
  <cp:keywords/>
  <dc:description/>
  <cp:lastModifiedBy>Uch_Otd_Akulova</cp:lastModifiedBy>
  <cp:revision>13</cp:revision>
  <dcterms:created xsi:type="dcterms:W3CDTF">2023-09-25T10:14:00Z</dcterms:created>
  <dcterms:modified xsi:type="dcterms:W3CDTF">2023-12-15T10:28:00Z</dcterms:modified>
</cp:coreProperties>
</file>