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Административная и уголовная ответственность в области охраны окружающей среды. Ответственность за совершение экологических правонарушений.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Взаимосвязи компонентов E, S и G в процессе ESG-трансформации.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Инженерный подход на жизненном цикле продукции, предприятия, экосистемы.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Взаимосвязь климатического регулирования, разработки проектов по адаптации к изменению климата, сценарного планирования и подходов к расчету выбросов/поглощения парниковых газов с </w:t>
      </w:r>
      <w:proofErr w:type="gramStart"/>
      <w:r>
        <w:t>бизнес-планированием</w:t>
      </w:r>
      <w:proofErr w:type="gramEnd"/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Взаимосвязь рисков воздействия на окружающую среду с бизнес-процессами.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Взаимосвязь </w:t>
      </w:r>
      <w:proofErr w:type="gramStart"/>
      <w:r>
        <w:t>риск-ориентированного</w:t>
      </w:r>
      <w:proofErr w:type="gramEnd"/>
      <w:r>
        <w:t xml:space="preserve"> подхода к ESG и экологической безопасности.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Законодательные и нормативные основы для принятия решений в области ESG-трансформации.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Источники негативного воздействия на компоненты природной среды.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«Зеленые» навыки и способы их развития.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Климатические риски и разработка проектов по адаптации к изменению климата.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Комплексный подход к практическому применению национальных и международных стандартов в области устойчивого развития, охраны окружающей среды и экологической безопасности – на примере менеджмента окружающей среды.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Комплексный подход к практическому применению национальных и международных стандартов в области устойчивого развития на примере менеджмента охраны здоровья и промышленной безопасности.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Концепции экологического риска</w:t>
      </w:r>
      <w:r w:rsidR="003B0AC5">
        <w:t xml:space="preserve">. </w:t>
      </w:r>
      <w:r>
        <w:t>Концепция приемлемого риска. Количественные и качественные показатели риска.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Методы контроля качества окружающей среды на объектах промышленного комплекса.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Методы экономического стимулирования и регулирования качеством окружающей среды.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Мониторинг состояния и загрязнения окружающей среды на объектах промышленного комплекса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Наилучшие доступные технологии: порядок и сроки внедрения. Инновация и модернизация как основа экологической безопасности.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Нормативы допустимого воздействия на окружающую среду.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Нормативы качества окружающей среды и принципы установления.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Общие требования в области охраны окружающей среды (ООС) при эксплуатации предприятия. Законодательная база РФ, нормативно-правовое обеспечение, нормативно-техническая документация.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Организационные мероприятия управления качеством окружающей среды на объектах промышленного комплекса.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Особенности экологического риска. Определения экологического риска. Факторы экологического риска. Основные этапы процедуры анализа и оценки экологического риска.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 xml:space="preserve">Подходы к открытости предприятия в ESG-повестки: глубина раскрытия информации. </w:t>
      </w:r>
    </w:p>
    <w:p w:rsidR="003A48A0" w:rsidRDefault="003A48A0" w:rsidP="003B0AC5">
      <w:pPr>
        <w:pStyle w:val="a3"/>
        <w:numPr>
          <w:ilvl w:val="0"/>
          <w:numId w:val="7"/>
        </w:numPr>
        <w:jc w:val="both"/>
      </w:pPr>
      <w:r>
        <w:t>Система экологического управления на предприятии. Экологическая политика компании. Экологические стандарты.</w:t>
      </w:r>
    </w:p>
    <w:p w:rsidR="00EF448E" w:rsidRPr="003A48A0" w:rsidRDefault="003A48A0" w:rsidP="00EF448E">
      <w:pPr>
        <w:pStyle w:val="a3"/>
        <w:numPr>
          <w:ilvl w:val="0"/>
          <w:numId w:val="7"/>
        </w:numPr>
        <w:jc w:val="both"/>
        <w:rPr>
          <w:lang w:val="en-GB"/>
        </w:rPr>
      </w:pPr>
      <w:r>
        <w:t>Управление экологическими рисками. Определение понятия, цель процедуры управления. Общая схема процесса управления экологическим риском. Оптимизация экологического риска.</w:t>
      </w:r>
      <w:bookmarkStart w:id="0" w:name="_GoBack"/>
      <w:bookmarkEnd w:id="0"/>
      <w:r w:rsidR="00EF448E" w:rsidRPr="003A48A0">
        <w:rPr>
          <w:lang w:val="en-GB"/>
        </w:rPr>
        <w:t xml:space="preserve"> </w:t>
      </w:r>
    </w:p>
    <w:sectPr w:rsidR="00EF448E" w:rsidRPr="003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E1D"/>
    <w:multiLevelType w:val="hybridMultilevel"/>
    <w:tmpl w:val="9FF6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2A7"/>
    <w:multiLevelType w:val="hybridMultilevel"/>
    <w:tmpl w:val="E7AC4BBE"/>
    <w:lvl w:ilvl="0" w:tplc="21F2AD22">
      <w:start w:val="1"/>
      <w:numFmt w:val="bullet"/>
      <w:lvlText w:val="∙"/>
      <w:lvlJc w:val="left"/>
      <w:pPr>
        <w:ind w:left="128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792FBC"/>
    <w:multiLevelType w:val="hybridMultilevel"/>
    <w:tmpl w:val="DDA80C4A"/>
    <w:lvl w:ilvl="0" w:tplc="21F2AD22">
      <w:start w:val="1"/>
      <w:numFmt w:val="bullet"/>
      <w:lvlText w:val="∙"/>
      <w:lvlJc w:val="left"/>
      <w:pPr>
        <w:ind w:left="128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164692"/>
    <w:multiLevelType w:val="hybridMultilevel"/>
    <w:tmpl w:val="38B61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9022B3"/>
    <w:multiLevelType w:val="hybridMultilevel"/>
    <w:tmpl w:val="B808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8F1982"/>
    <w:multiLevelType w:val="hybridMultilevel"/>
    <w:tmpl w:val="A1164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221B3B"/>
    <w:multiLevelType w:val="hybridMultilevel"/>
    <w:tmpl w:val="E52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C4181"/>
    <w:multiLevelType w:val="hybridMultilevel"/>
    <w:tmpl w:val="77CA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00490"/>
    <w:multiLevelType w:val="hybridMultilevel"/>
    <w:tmpl w:val="7C926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654394"/>
    <w:multiLevelType w:val="hybridMultilevel"/>
    <w:tmpl w:val="949A4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A6FE6"/>
    <w:multiLevelType w:val="hybridMultilevel"/>
    <w:tmpl w:val="31C8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F0"/>
    <w:rsid w:val="000160C5"/>
    <w:rsid w:val="000173BB"/>
    <w:rsid w:val="0020779F"/>
    <w:rsid w:val="002F569F"/>
    <w:rsid w:val="003A48A0"/>
    <w:rsid w:val="003B0AC5"/>
    <w:rsid w:val="005E0625"/>
    <w:rsid w:val="00634BAA"/>
    <w:rsid w:val="007A2523"/>
    <w:rsid w:val="00821AFB"/>
    <w:rsid w:val="0082669C"/>
    <w:rsid w:val="00840599"/>
    <w:rsid w:val="008A207C"/>
    <w:rsid w:val="00B23351"/>
    <w:rsid w:val="00C658BC"/>
    <w:rsid w:val="00D50F2E"/>
    <w:rsid w:val="00EE4CF0"/>
    <w:rsid w:val="00E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Поздняков Лев Анатольевич</cp:lastModifiedBy>
  <cp:revision>2</cp:revision>
  <dcterms:created xsi:type="dcterms:W3CDTF">2023-01-25T20:40:00Z</dcterms:created>
  <dcterms:modified xsi:type="dcterms:W3CDTF">2023-01-25T20:40:00Z</dcterms:modified>
</cp:coreProperties>
</file>