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B5" w:rsidRPr="007653C5" w:rsidRDefault="00E85DB5" w:rsidP="00E85DB5">
      <w:pPr>
        <w:spacing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Строение</w:t>
      </w:r>
      <w:r w:rsidRPr="007653C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Pr="007653C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динамика</w:t>
      </w:r>
      <w:r w:rsidRPr="007653C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молекул</w:t>
      </w:r>
    </w:p>
    <w:p w:rsidR="007653C5" w:rsidRDefault="007653C5" w:rsidP="00E85D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5DB5" w:rsidRPr="0010712D" w:rsidRDefault="00E85DB5" w:rsidP="00E85DB5">
      <w:pPr>
        <w:jc w:val="center"/>
        <w:rPr>
          <w:rFonts w:ascii="Times New Roman" w:hAnsi="Times New Roman"/>
          <w:b/>
          <w:sz w:val="24"/>
          <w:szCs w:val="24"/>
        </w:rPr>
      </w:pPr>
      <w:r w:rsidRPr="0010712D">
        <w:rPr>
          <w:rFonts w:ascii="Times New Roman" w:hAnsi="Times New Roman"/>
          <w:b/>
          <w:sz w:val="24"/>
          <w:szCs w:val="24"/>
        </w:rPr>
        <w:t>Вопросы к зачету:</w:t>
      </w:r>
    </w:p>
    <w:p w:rsidR="00E85DB5" w:rsidRDefault="00E85DB5" w:rsidP="00E85DB5">
      <w:pPr>
        <w:rPr>
          <w:rFonts w:ascii="Times New Roman" w:hAnsi="Times New Roman"/>
          <w:sz w:val="24"/>
          <w:szCs w:val="24"/>
        </w:rPr>
      </w:pPr>
    </w:p>
    <w:p w:rsidR="00E85DB5" w:rsidRDefault="00E85DB5" w:rsidP="00E85DB5">
      <w:pPr>
        <w:rPr>
          <w:rFonts w:ascii="Times New Roman" w:hAnsi="Times New Roman"/>
          <w:sz w:val="24"/>
          <w:szCs w:val="24"/>
        </w:rPr>
      </w:pPr>
      <w:r w:rsidRPr="00FF031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Практическое применение оператора эволюции: основные идеи и приближения. </w:t>
      </w:r>
    </w:p>
    <w:p w:rsidR="00E85DB5" w:rsidRDefault="00E85DB5" w:rsidP="00E85D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Сходство и различия стационарного и динамического критериев </w:t>
      </w:r>
      <w:proofErr w:type="spellStart"/>
      <w:r>
        <w:rPr>
          <w:rFonts w:ascii="Times New Roman" w:hAnsi="Times New Roman"/>
          <w:sz w:val="24"/>
          <w:szCs w:val="24"/>
        </w:rPr>
        <w:t>адиабатичности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процессов. </w:t>
      </w:r>
    </w:p>
    <w:p w:rsidR="00E85DB5" w:rsidRDefault="00E85DB5" w:rsidP="00E85D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Гамильтонова динамика молекулярных систем. Границы корректного использования сил </w:t>
      </w:r>
      <w:proofErr w:type="spellStart"/>
      <w:r>
        <w:rPr>
          <w:rFonts w:ascii="Times New Roman" w:hAnsi="Times New Roman"/>
          <w:sz w:val="24"/>
          <w:szCs w:val="24"/>
        </w:rPr>
        <w:t>Гельмана</w:t>
      </w:r>
      <w:proofErr w:type="spellEnd"/>
      <w:r>
        <w:rPr>
          <w:rFonts w:ascii="Times New Roman" w:hAnsi="Times New Roman"/>
          <w:sz w:val="24"/>
          <w:szCs w:val="24"/>
        </w:rPr>
        <w:t xml:space="preserve">–Фейнмана. </w:t>
      </w:r>
    </w:p>
    <w:p w:rsidR="00E85DB5" w:rsidRDefault="00E85DB5" w:rsidP="00E85D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Алгоритмы расчета перемещений частиц и их скоростей при динамическом моделировании. </w:t>
      </w:r>
    </w:p>
    <w:p w:rsidR="00E85DB5" w:rsidRDefault="00E85DB5" w:rsidP="00E85D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Лагранжева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динамика молекулярных систем: преимущества и ограничения в сравнении с гамильтоновой динамикой. </w:t>
      </w:r>
    </w:p>
    <w:p w:rsidR="00E85DB5" w:rsidRDefault="00E85DB5" w:rsidP="00E85D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Базовые конструкции квазиклассической динамики. Возможности и недостатки в сравнении с классическим и квантовым вариантами. </w:t>
      </w:r>
    </w:p>
    <w:p w:rsidR="00E85DB5" w:rsidRDefault="00E85DB5" w:rsidP="00E85D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Неадиабатическая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динамика с перескоками между адиабатическими потенциалами: связь с классическим критерием </w:t>
      </w:r>
      <w:proofErr w:type="spellStart"/>
      <w:r>
        <w:rPr>
          <w:rFonts w:ascii="Times New Roman" w:hAnsi="Times New Roman"/>
          <w:sz w:val="24"/>
          <w:szCs w:val="24"/>
        </w:rPr>
        <w:t>Месси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85DB5" w:rsidRDefault="00E85DB5" w:rsidP="00E85D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Диабатические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состояния и преимущества их использования в качестве базиса при изучении динамики молекулярных систем.</w:t>
      </w:r>
    </w:p>
    <w:p w:rsidR="00E85DB5" w:rsidRDefault="00E85DB5" w:rsidP="00E85D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Условия </w:t>
      </w:r>
      <w:proofErr w:type="spellStart"/>
      <w:r>
        <w:rPr>
          <w:rFonts w:ascii="Times New Roman" w:hAnsi="Times New Roman"/>
          <w:sz w:val="24"/>
          <w:szCs w:val="24"/>
        </w:rPr>
        <w:t>Эккарта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границы их применимости. Колебательно-вращательное взаимодействие и колебательный угловой момент.</w:t>
      </w:r>
    </w:p>
    <w:p w:rsidR="00E85DB5" w:rsidRDefault="00E85DB5" w:rsidP="00E85D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Инверсия и внутреннее вращение как основные типы движений большой амплитуды. Равновесные и опорные конфигурации молекул. </w:t>
      </w:r>
    </w:p>
    <w:p w:rsidR="00E85DB5" w:rsidRDefault="00E85DB5" w:rsidP="00E85D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Нормальные колебания молекул и эффективные колебательные моды. </w:t>
      </w:r>
    </w:p>
    <w:p w:rsidR="00E85DB5" w:rsidRDefault="00E85DB5" w:rsidP="00E85D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Основные идеи построения силовых полей. Варианты комбинирования квантового и классического описания при моделировании больших молекулярных систем. </w:t>
      </w:r>
    </w:p>
    <w:p w:rsidR="00E85DB5" w:rsidRDefault="00E85DB5" w:rsidP="00E85D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Сечение реакционного столкновения молекул. Варианты определения констант скорости процесса.</w:t>
      </w:r>
    </w:p>
    <w:p w:rsidR="00E85DB5" w:rsidRDefault="00E85DB5" w:rsidP="00E85D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Основные приближения, лежащие в основе уравнений </w:t>
      </w:r>
      <w:proofErr w:type="spellStart"/>
      <w:r>
        <w:rPr>
          <w:rFonts w:ascii="Times New Roman" w:hAnsi="Times New Roman"/>
          <w:sz w:val="24"/>
          <w:szCs w:val="24"/>
        </w:rPr>
        <w:t>Траутца</w:t>
      </w:r>
      <w:proofErr w:type="spellEnd"/>
      <w:r>
        <w:rPr>
          <w:rFonts w:ascii="Times New Roman" w:hAnsi="Times New Roman"/>
          <w:sz w:val="24"/>
          <w:szCs w:val="24"/>
        </w:rPr>
        <w:t xml:space="preserve">-Льюиса и </w:t>
      </w:r>
      <w:proofErr w:type="spellStart"/>
      <w:r>
        <w:rPr>
          <w:rFonts w:ascii="Times New Roman" w:hAnsi="Times New Roman"/>
          <w:sz w:val="24"/>
          <w:szCs w:val="24"/>
        </w:rPr>
        <w:t>Эйринга</w:t>
      </w:r>
      <w:proofErr w:type="spellEnd"/>
      <w:r>
        <w:rPr>
          <w:rFonts w:ascii="Times New Roman" w:hAnsi="Times New Roman"/>
          <w:sz w:val="24"/>
          <w:szCs w:val="24"/>
        </w:rPr>
        <w:t xml:space="preserve">. Возможность учета туннельных эффектов. </w:t>
      </w:r>
    </w:p>
    <w:p w:rsidR="00E85DB5" w:rsidRPr="00010A67" w:rsidRDefault="00E85DB5" w:rsidP="00E85D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Основные идеи, лежащие в основе анализа кинетики сложных процессов. </w:t>
      </w:r>
    </w:p>
    <w:p w:rsidR="007C2E09" w:rsidRDefault="003D5078"/>
    <w:sectPr w:rsidR="007C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B5"/>
    <w:rsid w:val="003D5078"/>
    <w:rsid w:val="007653C5"/>
    <w:rsid w:val="00C56371"/>
    <w:rsid w:val="00E85DB5"/>
    <w:rsid w:val="00F5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14E1-8D50-4B0C-B3AA-C519EAF2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B5"/>
    <w:pPr>
      <w:spacing w:after="0"/>
      <w:jc w:val="both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user</cp:lastModifiedBy>
  <cp:revision>2</cp:revision>
  <dcterms:created xsi:type="dcterms:W3CDTF">2023-01-23T08:51:00Z</dcterms:created>
  <dcterms:modified xsi:type="dcterms:W3CDTF">2023-01-23T08:51:00Z</dcterms:modified>
</cp:coreProperties>
</file>