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66" w:rsidRDefault="00505266" w:rsidP="00505266">
      <w:pPr>
        <w:rPr>
          <w:b/>
          <w:bCs/>
        </w:rPr>
      </w:pPr>
      <w:r>
        <w:rPr>
          <w:b/>
          <w:bCs/>
        </w:rPr>
        <w:t xml:space="preserve">Вопросы к зачёту: 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 xml:space="preserve">Истоки и типологические черты религиозно-философской эстетики в России. 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Эстетика русского зарубежья: общая характеристика, её место в философии и культуре «России в изгнании».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Эстетические интенциии в философии культуры Н.А. Бердяева.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Н.А. Бердяев как теоретик искусства.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Софиология отца Сергия Булгакова как основа его эстетики.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Искусство и иконопись в оценках отца Сергия Булгакова.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И.А. Ильин о духовном в искусстве и законах художественности.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Понятие «преображённого Эроса» и сублимации в эстетике Б.П. Вышеславцева.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Искусство и художник: взгляд Б.П. Вышеславцева.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Метафизическое учение об идеале красоты Н.О. Лосского.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Прекрасное как отображение металогического единства бытия в эстетике С.Л. Франка.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Концепт «умирания искусства» у В. Вейдле.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Критика В.Вейдле эстетики и эстетического: основания и причины.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Философия иконы русского зарубежья: общая характеристика.</w:t>
      </w:r>
    </w:p>
    <w:p w:rsidR="00505266" w:rsidRDefault="00505266" w:rsidP="00505266">
      <w:pPr>
        <w:numPr>
          <w:ilvl w:val="0"/>
          <w:numId w:val="1"/>
        </w:numPr>
        <w:spacing w:after="0" w:line="240" w:lineRule="auto"/>
      </w:pPr>
      <w:r>
        <w:t>Соотношение эстетического и искусствоведческого в философии иконы русского зарубежья.</w:t>
      </w:r>
    </w:p>
    <w:p w:rsidR="00505266" w:rsidRDefault="00505266" w:rsidP="00505266">
      <w:r>
        <w:t>Влияние эстетики русского азрубежья на культурные процессы западного мира.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C012B"/>
    <w:multiLevelType w:val="multilevel"/>
    <w:tmpl w:val="D982CEE8"/>
    <w:lvl w:ilvl="0">
      <w:start w:val="1"/>
      <w:numFmt w:val="decimal"/>
      <w:lvlText w:val="%1."/>
      <w:lvlJc w:val="left"/>
      <w:pPr>
        <w:ind w:left="571" w:hanging="571"/>
      </w:pPr>
    </w:lvl>
    <w:lvl w:ilvl="1">
      <w:start w:val="1"/>
      <w:numFmt w:val="decimal"/>
      <w:lvlText w:val="%1.%2."/>
      <w:lvlJc w:val="left"/>
      <w:pPr>
        <w:ind w:left="571" w:hanging="571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19"/>
    <w:rsid w:val="00147E19"/>
    <w:rsid w:val="00505266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81F5-BE6C-41A0-A3EA-11068C65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2021-12-10T12:47:00Z</dcterms:created>
  <dcterms:modified xsi:type="dcterms:W3CDTF">2021-12-10T12:47:00Z</dcterms:modified>
</cp:coreProperties>
</file>