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42" w:rsidRDefault="00722A42" w:rsidP="00722A42">
      <w:pPr>
        <w:pStyle w:val="1"/>
      </w:pPr>
      <w:r>
        <w:t>Вопросы к зачету</w:t>
      </w:r>
    </w:p>
    <w:p w:rsidR="00722A42" w:rsidRDefault="00722A42" w:rsidP="00722A42">
      <w:r>
        <w:t>1.</w:t>
      </w:r>
      <w:r>
        <w:tab/>
        <w:t xml:space="preserve">Основные подходы к симуляции реальности, исторические предпосылки их возникновения и представление в различных трансдисциплинарных гипотезах. </w:t>
      </w:r>
    </w:p>
    <w:p w:rsidR="00722A42" w:rsidRDefault="00722A42" w:rsidP="00722A42">
      <w:r>
        <w:t>2.</w:t>
      </w:r>
      <w:r>
        <w:tab/>
        <w:t xml:space="preserve">Способы моделирования виртуальной реальности, практические методы и подходы. </w:t>
      </w:r>
    </w:p>
    <w:p w:rsidR="00722A42" w:rsidRDefault="00722A42" w:rsidP="00722A42">
      <w:r>
        <w:t>3.</w:t>
      </w:r>
      <w:r>
        <w:tab/>
        <w:t xml:space="preserve">Системы мира, представления о восприятии реальности в науке, философии и религии. </w:t>
      </w:r>
    </w:p>
    <w:p w:rsidR="00722A42" w:rsidRDefault="00722A42" w:rsidP="00722A42">
      <w:r>
        <w:t>4.</w:t>
      </w:r>
      <w:r>
        <w:tab/>
        <w:t xml:space="preserve">Герой в мире, история, мифология, типы героев и методики их внедрения в виртуальную симуляцию. Герой и игрок. </w:t>
      </w:r>
    </w:p>
    <w:p w:rsidR="00722A42" w:rsidRDefault="00722A42" w:rsidP="00722A42">
      <w:r>
        <w:t>5.</w:t>
      </w:r>
      <w:r>
        <w:tab/>
        <w:t>Группы субъектов и объектов в игровом мире, практические способы использования языка и нарративных методик для установления взаимопонимания</w:t>
      </w:r>
      <w:r w:rsidRPr="001D3F43">
        <w:t xml:space="preserve"> </w:t>
      </w:r>
      <w:r>
        <w:t xml:space="preserve">(«раппорта») с восприятием игрока. </w:t>
      </w:r>
    </w:p>
    <w:p w:rsidR="00722A42" w:rsidRDefault="00722A42" w:rsidP="00722A42">
      <w:r>
        <w:t>6.</w:t>
      </w:r>
      <w:r>
        <w:tab/>
        <w:t>Пространство и время в симуляции, автор и континуум, примеры оригинального использования основных теорий в данной области.</w:t>
      </w:r>
    </w:p>
    <w:p w:rsidR="00722A42" w:rsidRDefault="00722A42" w:rsidP="00722A42">
      <w:r>
        <w:t>7.</w:t>
      </w:r>
      <w:r>
        <w:tab/>
        <w:t xml:space="preserve">Системы в игровом мире, установка шаблонов и работа с ними, общие правила функционирования симуляции. </w:t>
      </w:r>
    </w:p>
    <w:p w:rsidR="00722A42" w:rsidRDefault="00722A42" w:rsidP="00722A42">
      <w:r>
        <w:t>8.</w:t>
      </w:r>
      <w:r>
        <w:tab/>
        <w:t xml:space="preserve">Объекты интеллектуальной собственности, авторское и смешанные права и их приложение к виртуальным симуляциям. </w:t>
      </w:r>
    </w:p>
    <w:p w:rsidR="00722A42" w:rsidRDefault="00722A42" w:rsidP="00722A42">
      <w:r>
        <w:t>9.</w:t>
      </w:r>
      <w:r>
        <w:tab/>
        <w:t xml:space="preserve">Кибернетика как одна из ключевых дисциплин с точки зрения управления системами симуляции виртуальной реальности. </w:t>
      </w:r>
    </w:p>
    <w:p w:rsidR="00722A42" w:rsidRDefault="00722A42" w:rsidP="00722A42">
      <w:r>
        <w:t>10.</w:t>
      </w:r>
      <w:r>
        <w:tab/>
        <w:t xml:space="preserve">Приложение философии, антропологии, кибернетики, семиотики и лингвистики в дисциплине, общий анализ. </w:t>
      </w:r>
    </w:p>
    <w:p w:rsidR="00722A42" w:rsidRDefault="00722A42" w:rsidP="00722A42">
      <w:r>
        <w:t>11.</w:t>
      </w:r>
      <w:r>
        <w:tab/>
        <w:t>Тренды развития симуляции виртуальной реальности с точки зрения концепции, технических решений и практического применения.</w:t>
      </w:r>
    </w:p>
    <w:p w:rsidR="00722A42" w:rsidRPr="00B3413A" w:rsidRDefault="00722A42" w:rsidP="00722A42">
      <w:r>
        <w:t>12.</w:t>
      </w:r>
      <w:r>
        <w:tab/>
        <w:t>Методы применения симуляций виртуальной реальности в гуманитарных сферах, науке, образовании и в иных не-развлекательных целях.</w:t>
      </w:r>
    </w:p>
    <w:p w:rsidR="00722A42" w:rsidRDefault="00722A42" w:rsidP="00722A42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>
        <w:br w:type="page"/>
      </w:r>
    </w:p>
    <w:p w:rsidR="00722A42" w:rsidRPr="004808C4" w:rsidRDefault="00722A42" w:rsidP="00722A42">
      <w:pPr>
        <w:keepNext/>
        <w:keepLines/>
        <w:spacing w:before="240" w:after="240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4808C4">
        <w:rPr>
          <w:rFonts w:asciiTheme="majorHAnsi" w:eastAsiaTheme="majorEastAsia" w:hAnsiTheme="majorHAnsi" w:cstheme="majorBidi"/>
          <w:b/>
          <w:bCs/>
          <w:sz w:val="32"/>
          <w:szCs w:val="32"/>
        </w:rPr>
        <w:lastRenderedPageBreak/>
        <w:t>Литература по курсу</w:t>
      </w:r>
    </w:p>
    <w:p w:rsidR="00722A42" w:rsidRPr="004808C4" w:rsidRDefault="00722A42" w:rsidP="00722A42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>Справочные издания</w:t>
      </w:r>
    </w:p>
    <w:p w:rsidR="00722A42" w:rsidRPr="004808C4" w:rsidRDefault="00722A42" w:rsidP="00722A42">
      <w:pPr>
        <w:numPr>
          <w:ilvl w:val="0"/>
          <w:numId w:val="2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Философская энциклопедия: В 5 тт./ Под ред. Ф.В. Константинова. М: Изд-во: Советская энциклопедия. </w:t>
      </w:r>
      <w:r w:rsidRPr="004808C4">
        <w:rPr>
          <w:rFonts w:eastAsia="SimHei"/>
          <w:szCs w:val="28"/>
          <w:lang w:val="en-US"/>
        </w:rPr>
        <w:t>1960-1970. URL: https://platona.net/load/knigi_po_filosofii/slovari_ehnciklopedii/filosofskaja_ehnciklopedija_pod_red_f_v_konstantinova_tom_1/23-1-0-1284</w:t>
      </w:r>
    </w:p>
    <w:p w:rsidR="00722A42" w:rsidRPr="004808C4" w:rsidRDefault="00722A42" w:rsidP="00722A42">
      <w:pPr>
        <w:numPr>
          <w:ilvl w:val="0"/>
          <w:numId w:val="2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Новая философская энциклопедия: В 4 тт. /Под редакцией В. С. Стёпина. М.: Мысль. 2001. URL: </w:t>
      </w:r>
      <w:hyperlink r:id="rId5" w:history="1">
        <w:r w:rsidRPr="004808C4">
          <w:rPr>
            <w:rFonts w:eastAsia="SimHei"/>
            <w:szCs w:val="28"/>
          </w:rPr>
          <w:t>https://rus-philosophical-enc.slovaronline.com/</w:t>
        </w:r>
      </w:hyperlink>
      <w:r w:rsidRPr="004808C4">
        <w:rPr>
          <w:rFonts w:eastAsia="SimHei"/>
          <w:szCs w:val="28"/>
        </w:rPr>
        <w:t xml:space="preserve"> </w:t>
      </w:r>
    </w:p>
    <w:p w:rsidR="00722A42" w:rsidRPr="004808C4" w:rsidRDefault="00722A42" w:rsidP="00722A42">
      <w:pPr>
        <w:spacing w:after="200"/>
        <w:rPr>
          <w:b/>
        </w:rPr>
      </w:pPr>
      <w:r w:rsidRPr="004808C4">
        <w:rPr>
          <w:b/>
        </w:rPr>
        <w:t>Персоналии для ознакомления:</w:t>
      </w:r>
    </w:p>
    <w:p w:rsidR="00722A42" w:rsidRPr="004808C4" w:rsidRDefault="00722A42" w:rsidP="00722A42">
      <w:pPr>
        <w:spacing w:after="200" w:line="360" w:lineRule="auto"/>
        <w:jc w:val="both"/>
      </w:pPr>
      <w:r w:rsidRPr="004808C4">
        <w:t xml:space="preserve">Аристотель, Платон, Лебниц В., </w:t>
      </w:r>
      <w:r>
        <w:t xml:space="preserve">Макиавелли Н, </w:t>
      </w:r>
      <w:r w:rsidRPr="004808C4">
        <w:t xml:space="preserve">Льюис Д. К., Маркс К., Энгельс Ф, Сталнакер Р., Крипке С., Пирс Ч.С., Соссюр Ф., Фреге Г., Моррис У., Лотман Ю.М., Барт Р., Даймонд Дж., Боас Ф., а также </w:t>
      </w:r>
      <w:r>
        <w:t xml:space="preserve">другие </w:t>
      </w:r>
      <w:r w:rsidRPr="004808C4">
        <w:t>авторы из списка литературы.</w:t>
      </w:r>
    </w:p>
    <w:p w:rsidR="00722A42" w:rsidRPr="004808C4" w:rsidRDefault="00722A42" w:rsidP="00722A42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  <w:lang w:val="uk-UA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>Статьи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Боас Ф. Развитие народных сказок и мифов // Социальные и гуманитарные науки на Дальнем Востоке. — 2014. — № 1 (41). — С. 29–34.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Выготский Л.С. Игра и ее роль в психическом развитии ребенка // Психология развития. СПб.: Питер, 2001. С. 56–79.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Гарфинкель Гарольд. Что такое этнометодология? // Социологическое обозрение. Т. 11. № 3. 2012. – С. 144-154. </w:t>
      </w:r>
      <w:r w:rsidRPr="004808C4">
        <w:rPr>
          <w:rFonts w:eastAsia="SimHei"/>
          <w:szCs w:val="28"/>
        </w:rPr>
        <w:br/>
        <w:t>URL: https://sociologica.hse.ru/data/2013/01/17/1302903565/11_3_13.pdf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Костикова А. А. Фантастика как предмет междисциплинарных и трансдисциплинарных исследований // Вестник Московского университета. Серия 9: Филология. — 2020. — т. 4. — с. 151–153.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Крейг Роберт Т Теория коммуникаций как область знания // Оптимальные коммуникации (OK), 29 октября 2010. URL: </w:t>
      </w:r>
      <w:hyperlink r:id="rId6" w:history="1">
        <w:r w:rsidRPr="004808C4">
          <w:rPr>
            <w:rFonts w:eastAsia="SimHei"/>
            <w:szCs w:val="28"/>
          </w:rPr>
          <w:t>http://jarki.ru/wpress/2010/10/29/1338/</w:t>
        </w:r>
      </w:hyperlink>
      <w:r w:rsidRPr="004808C4">
        <w:rPr>
          <w:rFonts w:eastAsia="SimHei"/>
          <w:szCs w:val="28"/>
        </w:rPr>
        <w:t xml:space="preserve"> 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Лепский В. Е. Экономическая кибернетика саморазвивающихся сред (кибернетика третьего порядка) // Управленческие науки. 2015. №4. URL: https://cyberleninka.ru/article/n/ekonomicheskaya-kibernetika-samorazvivayuschihsya-sred-kibernetika-tretiego-poryadka (дата обращения: 25.01.2021).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 xml:space="preserve">Лихачев Д. С. О национальном характере русских </w:t>
      </w:r>
      <w:r w:rsidRPr="004808C4">
        <w:rPr>
          <w:rFonts w:eastAsia="SimHei"/>
          <w:szCs w:val="28"/>
        </w:rPr>
        <w:br/>
        <w:t>(Расширенный текст выступления в телевизионной передаче “Философские беседы”.) // Вопросы философии. — 1990. — № 4. — С. 3—6.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Лихачев Д.С. Концептосфера русского языка // Русская словесность: от теории словесности к структуре текста: антол. / Ин-т народов России [и др.]. — М., 1997. — С. 280–287.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Московичи С. Социальное представление: исторический взгляд. // Психологический журнал. – 1995. – Том 16. №1.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 П. Будущее и прошлое в зеркале здравого смысла  // Вестник Московской международной высшей школы бизнеса (МИРБИС). </w:t>
      </w:r>
      <w:r w:rsidRPr="004808C4">
        <w:rPr>
          <w:rFonts w:eastAsia="SimHei"/>
          <w:szCs w:val="28"/>
          <w:lang w:val="en-US"/>
        </w:rPr>
        <w:t xml:space="preserve">2018. № 1 (13).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72-78. URL: </w:t>
      </w:r>
      <w:hyperlink r:id="rId7" w:history="1">
        <w:r w:rsidRPr="004808C4">
          <w:rPr>
            <w:rFonts w:eastAsia="SimHei"/>
            <w:szCs w:val="28"/>
            <w:lang w:val="en-US"/>
          </w:rPr>
          <w:t>https://cs.journal-mirbis.ru/-/EN9hh51kkBTftZmEr797fQ/sv/document/11/b0/32/521295/288/72-78.pdf?1521810997</w:t>
        </w:r>
      </w:hyperlink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Сегал А. П. Золотой век и Железная гвардия: к 30-й годовщине смерти Мирчи Элиаде // Логос. — 2017. — Т. 27, № 4 (119). — С. 179–192. URL: http://logosjournal.ru/arch/96/119_10.pdf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«Образ будущего» или виртуальная реальность? О пространстве формирования личности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2017.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7, № 4.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1380–1387. URL: </w:t>
      </w:r>
      <w:hyperlink r:id="rId8" w:history="1">
        <w:r w:rsidRPr="004808C4">
          <w:rPr>
            <w:rFonts w:eastAsia="SimHei"/>
            <w:szCs w:val="28"/>
            <w:lang w:val="en-US"/>
          </w:rPr>
          <w:t>https://profed.nsau.edu.ru/jour/article/view/393/392</w:t>
        </w:r>
      </w:hyperlink>
      <w:r w:rsidRPr="004808C4">
        <w:rPr>
          <w:rFonts w:eastAsia="SimHei"/>
          <w:szCs w:val="28"/>
          <w:lang w:val="en-US"/>
        </w:rPr>
        <w:t xml:space="preserve"> 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«Цифра» и «цифровое общество» как симулякры XXI века (о терминологической строгости при описании процессов коммуникации)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2019.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9, № 3.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2898–2908. URL: </w:t>
      </w:r>
      <w:hyperlink r:id="rId9" w:history="1">
        <w:r w:rsidRPr="004808C4">
          <w:rPr>
            <w:rFonts w:eastAsia="SimHei"/>
            <w:szCs w:val="28"/>
            <w:lang w:val="en-US"/>
          </w:rPr>
          <w:t>https://profed.nsau.edu.ru/jour/article/view/587/568</w:t>
        </w:r>
      </w:hyperlink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Сегал А. П. Кто меняет меняющийся мир? О субъектах и агентах стратегических коммуникаций. // Искусственные общества. – 2019. – T. 14. – Выпуск 3. URL: https://artsoc.jes.su/s207751800006883-0-1/ (дата обращения: 11.01.2021). URL: </w:t>
      </w:r>
      <w:hyperlink r:id="rId10" w:history="1">
        <w:r w:rsidRPr="004808C4">
          <w:rPr>
            <w:rFonts w:eastAsia="SimHei"/>
            <w:szCs w:val="28"/>
          </w:rPr>
          <w:t>https://artsoc.jes.su/s207751800006883-0-1/</w:t>
        </w:r>
      </w:hyperlink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</w:rPr>
        <w:t xml:space="preserve">Сегал А.П. Гумбольдтовская реформа школы как образец социальной стратегии (опыт ретроспективного проектного анализа) // Профессиональное образование в современном мире. </w:t>
      </w:r>
      <w:r w:rsidRPr="004808C4">
        <w:rPr>
          <w:rFonts w:eastAsia="SimHei"/>
          <w:szCs w:val="28"/>
          <w:lang w:val="en-US"/>
        </w:rPr>
        <w:t xml:space="preserve">2020. </w:t>
      </w:r>
      <w:r w:rsidRPr="004808C4">
        <w:rPr>
          <w:rFonts w:eastAsia="SimHei"/>
          <w:szCs w:val="28"/>
        </w:rPr>
        <w:t>Т</w:t>
      </w:r>
      <w:r w:rsidRPr="004808C4">
        <w:rPr>
          <w:rFonts w:eastAsia="SimHei"/>
          <w:szCs w:val="28"/>
          <w:lang w:val="en-US"/>
        </w:rPr>
        <w:t xml:space="preserve">. 10, № 1. </w:t>
      </w:r>
      <w:r w:rsidRPr="004808C4">
        <w:rPr>
          <w:rFonts w:eastAsia="SimHei"/>
          <w:szCs w:val="28"/>
        </w:rPr>
        <w:t>С</w:t>
      </w:r>
      <w:r w:rsidRPr="004808C4">
        <w:rPr>
          <w:rFonts w:eastAsia="SimHei"/>
          <w:szCs w:val="28"/>
          <w:lang w:val="en-US"/>
        </w:rPr>
        <w:t xml:space="preserve">. 3409 – 3417. URL: </w:t>
      </w:r>
      <w:hyperlink r:id="rId11" w:history="1">
        <w:r w:rsidRPr="004808C4">
          <w:rPr>
            <w:rFonts w:eastAsia="SimHei"/>
            <w:szCs w:val="28"/>
            <w:lang w:val="en-US"/>
          </w:rPr>
          <w:t>https://profed.nsau.edu.ru/jour/article/view/644/623</w:t>
        </w:r>
      </w:hyperlink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Сегал А. П. Проблематика социального проектирования в свете обыденных представлений об историческом (социальном) времени // Искусственные </w:t>
      </w:r>
      <w:r w:rsidRPr="004808C4">
        <w:rPr>
          <w:rFonts w:eastAsia="SimHei"/>
          <w:szCs w:val="28"/>
        </w:rPr>
        <w:lastRenderedPageBreak/>
        <w:t>общества. – 2020. – T. 15. – Выпуск 3. URL: </w:t>
      </w:r>
      <w:hyperlink r:id="rId12" w:history="1">
        <w:r w:rsidRPr="004808C4">
          <w:rPr>
            <w:rFonts w:eastAsia="SimHei"/>
            <w:szCs w:val="28"/>
          </w:rPr>
          <w:t>https://artsoc.jes.su/s207751800010977-3-1/</w:t>
        </w:r>
      </w:hyperlink>
      <w:r w:rsidRPr="004808C4">
        <w:rPr>
          <w:rFonts w:eastAsia="SimHei"/>
          <w:szCs w:val="28"/>
        </w:rPr>
        <w:t xml:space="preserve"> 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Савченко А. В. , Сегал А. П. Виртуальная реальность - онтология, эпистемология, праксис. Постановка проблем // Искусственные общества. – 2020. – T. 15. – Выпуск 4. URL: </w:t>
      </w:r>
      <w:hyperlink r:id="rId13" w:history="1">
        <w:r w:rsidRPr="004808C4">
          <w:rPr>
            <w:rFonts w:eastAsia="SimHei"/>
            <w:szCs w:val="28"/>
          </w:rPr>
          <w:t>https://artsoc.jes.su/s207751800012841-4-1/</w:t>
        </w:r>
      </w:hyperlink>
      <w:r w:rsidRPr="004808C4">
        <w:rPr>
          <w:rFonts w:eastAsia="SimHei"/>
          <w:szCs w:val="28"/>
        </w:rPr>
        <w:t xml:space="preserve"> 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Хабермас Ю. Понятие индивидуальности. // Вопросы философии. – 1989. – № 2. – С. 35-40.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Эльконинова Л., Эльконин Б.Д. Знаковое опосредование, волшебная сказка и субъектность действия. //Вестник МГУ. Серия «Психология». – 1993. – Ж. 2. – С. 62-70.</w:t>
      </w:r>
    </w:p>
    <w:p w:rsidR="00722A42" w:rsidRPr="004808C4" w:rsidRDefault="00722A42" w:rsidP="00722A42">
      <w:pPr>
        <w:numPr>
          <w:ilvl w:val="0"/>
          <w:numId w:val="4"/>
        </w:numPr>
        <w:spacing w:after="0" w:line="300" w:lineRule="auto"/>
        <w:ind w:left="567" w:hanging="567"/>
        <w:contextualSpacing/>
        <w:rPr>
          <w:rFonts w:eastAsia="SimHei"/>
          <w:szCs w:val="28"/>
        </w:rPr>
      </w:pPr>
      <w:r w:rsidRPr="004808C4">
        <w:rPr>
          <w:rFonts w:eastAsia="SimHei"/>
          <w:szCs w:val="28"/>
          <w:lang w:val="en-US"/>
        </w:rPr>
        <w:t>Big data: a loop or a challenge for human morality: mapping russian tradition in philosophy and methodology / A. Kostikova, A. Segal, G. Sorina, S. Spartak // Russian Journal of Communication. — 2017. — Vol. 9, no. 3. — P. 252–262.</w:t>
      </w:r>
      <w:r w:rsidRPr="004808C4">
        <w:rPr>
          <w:rFonts w:eastAsia="SimHei"/>
          <w:szCs w:val="28"/>
          <w:lang w:val="uk-UA"/>
        </w:rPr>
        <w:t xml:space="preserve"> </w:t>
      </w:r>
      <w:r w:rsidRPr="004808C4">
        <w:rPr>
          <w:rFonts w:eastAsia="SimHei"/>
          <w:szCs w:val="28"/>
          <w:lang w:val="en-US"/>
        </w:rPr>
        <w:t>URL: https://www.tandfonline.com/doi/full/10.1080/19409419.2017.1376533</w:t>
      </w:r>
    </w:p>
    <w:p w:rsidR="00722A42" w:rsidRPr="004808C4" w:rsidRDefault="00722A42" w:rsidP="00722A42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 xml:space="preserve">Книги 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  <w:lang w:val="en-US"/>
        </w:rPr>
      </w:pPr>
      <w:r w:rsidRPr="004808C4">
        <w:rPr>
          <w:rFonts w:eastAsia="SimHei"/>
          <w:szCs w:val="28"/>
          <w:lang w:val="en-US"/>
        </w:rPr>
        <w:t>Lupoff R.A.. Edgar Rice Burroughs: Master of Adventure (1965). https://search.rsl.ru/ru/record/01003029457</w:t>
      </w:r>
    </w:p>
    <w:p w:rsidR="00722A42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Аристотель. Политика / Сочинения в 4-х томах. </w:t>
      </w:r>
      <w:r>
        <w:rPr>
          <w:rFonts w:eastAsia="SimHei"/>
          <w:szCs w:val="28"/>
        </w:rPr>
        <w:t xml:space="preserve">– </w:t>
      </w:r>
      <w:r w:rsidRPr="004808C4">
        <w:rPr>
          <w:rFonts w:eastAsia="SimHei"/>
          <w:szCs w:val="28"/>
        </w:rPr>
        <w:t>М., Мысль, 1983. Т.4.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Барбрук Р. Интернет-революция — М.: «Ад Маргинем Пресс», 2015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Барт Р. Мифологии. Mythologies. – М.: Изд-во им. Сабашниковых, 2000. – 320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Белл Д. Грядущее постиндустриальное общество. Опыт социального прогнозирования. М.: Academia, 2004 .- 944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Бахтин М.М. Творчество Франсуа Рабле и народная культура средневековья и Ренессанса. </w:t>
      </w:r>
      <w:r w:rsidRPr="004808C4">
        <w:rPr>
          <w:rFonts w:eastAsia="SimHei"/>
          <w:szCs w:val="28"/>
        </w:rPr>
        <w:noBreakHyphen/>
        <w:t xml:space="preserve"> 2-е изд . – М.: Художественная литература, 1990. – 543 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Бергер П., Лукман Т. Социальное конструирование реальности. Трактат по социологии знания. – М.: Медиум, 1995. – 336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Боас Ф. Ум первобытного человека.– URSS, 2011. – 153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Гальперин П.Я. Лекции по психологии. М.: Высшая школа, 2002. – 400 с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Гоффман И. Представление себя другим в повседневной жизни — М.: «КАНОН-пресс-Ц», «Кучково поле», 2000. — 304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Гумбольдт В. Язык и философия культуры. – М.: Прогресс, 1985. – 449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Гумилёв Л.Н. Этногенез и биосфера Земли. — 2 изд. испр. и доп. — Л.: Изд-во ЛГУ, 1989. — 496 с 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>Донован Т. Играй! История видеоигр.— М.: Белое Яблоко, 2014 — 648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Кастельс М. Власть коммуникации: учеб. Пособие. НИУ ВШЭ. — М. : Изд. </w:t>
      </w:r>
      <w:r w:rsidRPr="004808C4">
        <w:rPr>
          <w:rFonts w:eastAsia="SimHei" w:hint="eastAsia"/>
          <w:szCs w:val="28"/>
        </w:rPr>
        <w:t>Д</w:t>
      </w:r>
      <w:r w:rsidRPr="004808C4">
        <w:rPr>
          <w:rFonts w:eastAsia="SimHei"/>
          <w:szCs w:val="28"/>
        </w:rPr>
        <w:t>ом Высшей школы экономики, 2016 — 564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Кун Николай. </w:t>
      </w:r>
      <w:hyperlink r:id="rId14" w:tooltip="Кун Николай. Легенды и мифы Древней Греции - скачать книгу бесплатно" w:history="1">
        <w:r w:rsidRPr="004808C4">
          <w:rPr>
            <w:rFonts w:eastAsia="SimHei"/>
            <w:szCs w:val="28"/>
          </w:rPr>
          <w:t>Легенды и мифы Древней Греции</w:t>
        </w:r>
      </w:hyperlink>
      <w:r w:rsidRPr="004808C4">
        <w:rPr>
          <w:rFonts w:eastAsia="SimHei"/>
          <w:szCs w:val="28"/>
        </w:rPr>
        <w:t xml:space="preserve"> URL: http://www.sno.pro1.ru/lib/kun/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Ланир Д. Вы не гаджет. – М.: Издательство Астрель, Corpus, 2011.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Леви-Брюль Л. Сверхъестественное в первобытном мышлении. – М.: Педагогика-Пресс, 1999. – 608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Леви-Строс К. Структурная антропология. – М.: Изд-во ЭКСМО-Пресс, 2001. – 512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Лем Станислав. Сумма технологии = Summa Technologiae. — М. : АСТ ; СПб.: Terra Fantastica ; Минск : Харвест, 2002. — 668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Лотман Ю.М. Избранные статьи в 3 т. Т. 1: Статьи по семиотике и типологии культуры. – Таллин: Александра, 1992. – 479 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Луман Н. Медиа коммуникации. – М: Изд-во "Логос". 2005. - 280 с. 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Макгонигал Дж. Реальность под вопросом. Почему игры делают нас лучше и как они могут изменить мир. — М.: Манн, Иванов и Фербер, 2018. — 384</w:t>
      </w:r>
      <w:r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>с.</w:t>
      </w:r>
    </w:p>
    <w:p w:rsidR="00722A42" w:rsidRPr="00703C50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703C50">
        <w:rPr>
          <w:rFonts w:eastAsia="SimHei"/>
          <w:szCs w:val="28"/>
        </w:rPr>
        <w:t xml:space="preserve">Макиавелли Н. Государь. </w:t>
      </w:r>
      <w:r>
        <w:rPr>
          <w:rFonts w:eastAsia="SimHei"/>
          <w:szCs w:val="28"/>
        </w:rPr>
        <w:t xml:space="preserve">– </w:t>
      </w:r>
      <w:r w:rsidRPr="00703C50">
        <w:rPr>
          <w:rFonts w:eastAsia="SimHei"/>
          <w:szCs w:val="28"/>
        </w:rPr>
        <w:t>М.: Планета, 1990</w:t>
      </w:r>
      <w:r>
        <w:rPr>
          <w:rFonts w:eastAsia="SimHei"/>
          <w:szCs w:val="28"/>
        </w:rPr>
        <w:t>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Маклюэн Г. M. Понимание Медиа: Внешние расширения человека. — М.; Жуковский: «КАНОН-пресс-Ц», «Кучково поле», 2003 — 464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Маяк И.Л. Рим первых царей. Генезис римского полиса. – М.: Изд.-во МГУ, 1983. – 278</w:t>
      </w:r>
      <w:r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>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t>Мелетинский Е.М.. Поэтика мифа.— М: Азбука-Аттикус, 2018— 676 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hyperlink r:id="rId15" w:history="1">
        <w:r w:rsidRPr="004808C4">
          <w:rPr>
            <w:rFonts w:eastAsia="SimHei"/>
            <w:szCs w:val="28"/>
          </w:rPr>
          <w:t>Мюллер</w:t>
        </w:r>
      </w:hyperlink>
      <w:r w:rsidRPr="004808C4">
        <w:rPr>
          <w:rFonts w:eastAsia="SimHei"/>
          <w:szCs w:val="28"/>
        </w:rPr>
        <w:t xml:space="preserve"> М.  </w:t>
      </w:r>
      <w:hyperlink r:id="rId16" w:history="1">
        <w:r w:rsidRPr="004808C4">
          <w:rPr>
            <w:rFonts w:eastAsia="SimHei"/>
            <w:szCs w:val="28"/>
          </w:rPr>
          <w:t>У истоков компаративистики в религиоведении.</w:t>
        </w:r>
      </w:hyperlink>
      <w:r w:rsidRPr="004808C4">
        <w:rPr>
          <w:rFonts w:eastAsia="SimHei"/>
          <w:szCs w:val="28"/>
        </w:rPr>
        <w:t xml:space="preserve"> // Введение в науку о религии: Четыре лекции, прочитанные в Лондонском Королевском институте в феврале — марте 1870 года. — М.: Книжный дом «Университет»: Высшая школа, 2002. — 264 с. </w:t>
      </w:r>
    </w:p>
    <w:p w:rsidR="00722A42" w:rsidRPr="00457CD3" w:rsidRDefault="00722A42" w:rsidP="00722A42">
      <w:pPr>
        <w:pStyle w:val="a3"/>
        <w:numPr>
          <w:ilvl w:val="0"/>
          <w:numId w:val="3"/>
        </w:numPr>
        <w:spacing w:after="0" w:line="300" w:lineRule="auto"/>
        <w:ind w:left="567" w:hanging="567"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Платон. Государство. Законы. Политик. – М.: Мысль, 1998. – 798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Поршнев Б.Ф. О начале человеческой истории (проблемы палеопсихологии): Монография. – СПб: Алетейя, 2007. – 714 с. 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Пропп В.Я. Морфология волшебной сказки. – М.: Лабиринт, 2003. – 144 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Пропп В.Я. Исторические корни волшебной сказки. – Л.: Изд-во ЛГУ, 1986. – 361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t>Ранк Отто. Миф о Рождении Героя.— М.: Изд-во «Академический проект», 2020.– 238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>Рат-Вег Иштван. История человеческой глупости. – Дубна: ИЦ Феникс, 1996. – 640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Родари Д. Грамматика фантазии. Введение в искусство придумывания историй». М.: Прогресс, 1990 – 191 с. </w:t>
      </w:r>
      <w:r w:rsidRPr="004808C4">
        <w:rPr>
          <w:rFonts w:eastAsia="SimHei"/>
          <w:szCs w:val="28"/>
          <w:lang w:val="en-US"/>
        </w:rPr>
        <w:t>URL</w:t>
      </w:r>
      <w:r w:rsidRPr="004808C4">
        <w:rPr>
          <w:rFonts w:eastAsia="SimHei"/>
          <w:szCs w:val="28"/>
        </w:rPr>
        <w:t xml:space="preserve">: </w:t>
      </w:r>
      <w:hyperlink r:id="rId17" w:history="1"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https</w:t>
        </w:r>
        <w:r w:rsidRPr="004808C4">
          <w:rPr>
            <w:rFonts w:eastAsia="SimHei"/>
            <w:color w:val="0563C1" w:themeColor="hyperlink"/>
            <w:szCs w:val="28"/>
            <w:u w:val="single"/>
          </w:rPr>
          <w:t>://</w:t>
        </w:r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prostranstvo</w:t>
        </w:r>
        <w:r w:rsidRPr="004808C4">
          <w:rPr>
            <w:rFonts w:eastAsia="SimHei"/>
            <w:color w:val="0563C1" w:themeColor="hyperlink"/>
            <w:szCs w:val="28"/>
            <w:u w:val="single"/>
          </w:rPr>
          <w:t>.</w:t>
        </w:r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nethouse</w:t>
        </w:r>
        <w:r w:rsidRPr="004808C4">
          <w:rPr>
            <w:rFonts w:eastAsia="SimHei"/>
            <w:color w:val="0563C1" w:themeColor="hyperlink"/>
            <w:szCs w:val="28"/>
            <w:u w:val="single"/>
          </w:rPr>
          <w:t>.</w:t>
        </w:r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ru</w:t>
        </w:r>
        <w:r w:rsidRPr="004808C4">
          <w:rPr>
            <w:rFonts w:eastAsia="SimHei"/>
            <w:color w:val="0563C1" w:themeColor="hyperlink"/>
            <w:szCs w:val="28"/>
            <w:u w:val="single"/>
          </w:rPr>
          <w:t>/</w:t>
        </w:r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static</w:t>
        </w:r>
        <w:r w:rsidRPr="004808C4">
          <w:rPr>
            <w:rFonts w:eastAsia="SimHei"/>
            <w:color w:val="0563C1" w:themeColor="hyperlink"/>
            <w:szCs w:val="28"/>
            <w:u w:val="single"/>
          </w:rPr>
          <w:t>/</w:t>
        </w:r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doc</w:t>
        </w:r>
        <w:r w:rsidRPr="004808C4">
          <w:rPr>
            <w:rFonts w:eastAsia="SimHei"/>
            <w:color w:val="0563C1" w:themeColor="hyperlink"/>
            <w:szCs w:val="28"/>
            <w:u w:val="single"/>
          </w:rPr>
          <w:t>/0000/0000/0146/146330.8</w:t>
        </w:r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cbz</w:t>
        </w:r>
        <w:r w:rsidRPr="004808C4">
          <w:rPr>
            <w:rFonts w:eastAsia="SimHei"/>
            <w:color w:val="0563C1" w:themeColor="hyperlink"/>
            <w:szCs w:val="28"/>
            <w:u w:val="single"/>
          </w:rPr>
          <w:t>0</w:t>
        </w:r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e</w:t>
        </w:r>
        <w:r w:rsidRPr="004808C4">
          <w:rPr>
            <w:rFonts w:eastAsia="SimHei"/>
            <w:color w:val="0563C1" w:themeColor="hyperlink"/>
            <w:szCs w:val="28"/>
            <w:u w:val="single"/>
          </w:rPr>
          <w:t>6</w:t>
        </w:r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uur</w:t>
        </w:r>
        <w:r w:rsidRPr="004808C4">
          <w:rPr>
            <w:rFonts w:eastAsia="SimHei"/>
            <w:color w:val="0563C1" w:themeColor="hyperlink"/>
            <w:szCs w:val="28"/>
            <w:u w:val="single"/>
          </w:rPr>
          <w:t>.</w:t>
        </w:r>
        <w:r w:rsidRPr="004808C4">
          <w:rPr>
            <w:rFonts w:eastAsia="SimHei"/>
            <w:color w:val="0563C1" w:themeColor="hyperlink"/>
            <w:szCs w:val="28"/>
            <w:u w:val="single"/>
            <w:lang w:val="en-US"/>
          </w:rPr>
          <w:t>pdf</w:t>
        </w:r>
      </w:hyperlink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hyperlink r:id="rId18" w:history="1">
        <w:r w:rsidRPr="004808C4">
          <w:rPr>
            <w:rFonts w:eastAsia="SimHei"/>
            <w:szCs w:val="28"/>
          </w:rPr>
          <w:t>Савченко А.</w:t>
        </w:r>
      </w:hyperlink>
      <w:r w:rsidRPr="004808C4">
        <w:rPr>
          <w:rFonts w:eastAsia="SimHei"/>
          <w:szCs w:val="28"/>
        </w:rPr>
        <w:t xml:space="preserve"> Игра как бизнес. От мечты до релиза. — М.: Изд-во </w:t>
      </w:r>
      <w:hyperlink r:id="rId19" w:history="1">
        <w:r w:rsidRPr="004808C4">
          <w:rPr>
            <w:rFonts w:eastAsia="SimHei"/>
            <w:szCs w:val="28"/>
          </w:rPr>
          <w:t>Бомбора</w:t>
        </w:r>
      </w:hyperlink>
      <w:r w:rsidRPr="004808C4">
        <w:rPr>
          <w:rFonts w:eastAsia="SimHei"/>
          <w:szCs w:val="28"/>
        </w:rPr>
        <w:t>, 2020 – 336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Слоттердайк П. Критика цинического разума. – Екатеринбург: Изд-во Уральского университета, 2001. – 584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Степин В.С. Цивилизация и культура. – СПб: СПбГУП, 2011. – 408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Стукалин Ю.В. Первая энциклопедия Дикого Запада – от A до Z. М., 2014.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Тойнби А. Дж. Постижение истории. — М.: Рольф, 2001—640 с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Тойнби А. Дж. Цивилизация перед судом истории — М.: Рольф, 2002—592 с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Тоффлер Э. Третья волна. - Москва : АСТ, 2009 - 795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Утопия и утопическое мышление: Антология зарубежной литературы. – М.: Прогресс, 1991. – 405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Фрэзер Дж.Дж. Золотая Ветвь: Исследование магии и религии. — М.: ТЕРРА-Книжный клуб, 2001. — 528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Фуко М. Археология знания. Изд. 2-е, испр. – СПб: Гуманитарная акад., 2012. - 415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Фуко М. Герменевтика субъекта: Курс лекций, прочитанных в Коллеж де Франс в 1981-1982 учебном году. – СПб: Наука, 2007. – 480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Фукуяма Ф. Конец истории и последний человек. - Москва : Изд-во ACT: Полиграфиздат, 2010. - 588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Хайдеггер М. Время и бытие: Статьи и выступления. – М.: Республика, 1993. – 447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t>Харари Ю.Н. «Sapiens. Краткая история человечества» М.: Синдбад, 2011. – 570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Хёйзинга Й. Осень средневековья. – М.: Наука, 1988. – 544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Хомский, Ноам. Прибыль на людях.: Неолиберализм и мировой порядок. </w:t>
      </w:r>
      <w:r w:rsidRPr="004808C4">
        <w:rPr>
          <w:rFonts w:eastAsia="SimHei"/>
          <w:szCs w:val="28"/>
        </w:rPr>
        <w:noBreakHyphen/>
        <w:t xml:space="preserve"> М.: Праксис, 2002. – 256 с. 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Элиаде М. Аспекты мифа. – М.: Изд. центр «ACADEMIA», ИНВЕСТ-ППП, 1996. – 240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lastRenderedPageBreak/>
        <w:t>Элиаде М. Миф о вечном возвращении. Архетипы и повторяемость. – СПб: Алетейя, 1998. – 249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Юнг К.Г. Человек и его символы </w:t>
      </w:r>
      <w:r w:rsidRPr="004808C4">
        <w:rPr>
          <w:rFonts w:eastAsia="SimHei"/>
          <w:szCs w:val="28"/>
        </w:rPr>
        <w:br/>
        <w:t xml:space="preserve">URL: </w:t>
      </w:r>
      <w:hyperlink r:id="rId20" w:history="1">
        <w:r w:rsidRPr="004808C4">
          <w:rPr>
            <w:rFonts w:eastAsia="SimHei"/>
            <w:szCs w:val="28"/>
          </w:rPr>
          <w:t>https://www.litmir.me/br/?b=139670&amp;p=1</w:t>
        </w:r>
      </w:hyperlink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Юнг К.Г. Архетип и символ: Сб. работ. – М.: Издательство "Ренессанс" СП "ИВО-СиД",1991. </w:t>
      </w:r>
      <w:r w:rsidRPr="004808C4">
        <w:rPr>
          <w:rFonts w:eastAsia="SimHei"/>
          <w:szCs w:val="28"/>
        </w:rPr>
        <w:noBreakHyphen/>
        <w:t xml:space="preserve"> 304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Язык и моделирование социального взаимодействия: Переводы. – М.: Прогресс, 1987. – 464 с.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 xml:space="preserve">Якоби Иоланда. Комплекс/архетип/символ URL: </w:t>
      </w:r>
      <w:hyperlink r:id="rId21" w:history="1">
        <w:r w:rsidRPr="004808C4">
          <w:rPr>
            <w:rFonts w:eastAsia="SimHei"/>
            <w:szCs w:val="28"/>
          </w:rPr>
          <w:t>https://castalia.ru/translations/iolanda-yakobi-kompleks-arkhetip-simvol-glava-1-kompleks</w:t>
        </w:r>
      </w:hyperlink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Якоби Иоланда. Психологическое учение К.Г.</w:t>
      </w:r>
      <w:r>
        <w:rPr>
          <w:rFonts w:eastAsia="SimHei"/>
          <w:szCs w:val="28"/>
        </w:rPr>
        <w:t> </w:t>
      </w:r>
      <w:r w:rsidRPr="004808C4">
        <w:rPr>
          <w:rFonts w:eastAsia="SimHei"/>
          <w:szCs w:val="28"/>
        </w:rPr>
        <w:t xml:space="preserve">Юнга/ URL: </w:t>
      </w:r>
      <w:hyperlink r:id="rId22" w:history="1">
        <w:r w:rsidRPr="004808C4">
          <w:rPr>
            <w:rFonts w:eastAsia="SimHei"/>
            <w:szCs w:val="28"/>
          </w:rPr>
          <w:t>https://carljung.ru/Library/Jacobi2.htm</w:t>
        </w:r>
      </w:hyperlink>
      <w:r w:rsidRPr="004808C4">
        <w:rPr>
          <w:rFonts w:eastAsia="SimHei"/>
          <w:szCs w:val="28"/>
        </w:rPr>
        <w:t xml:space="preserve"> </w:t>
      </w:r>
    </w:p>
    <w:p w:rsidR="00722A42" w:rsidRPr="004808C4" w:rsidRDefault="00722A42" w:rsidP="00722A42">
      <w:pPr>
        <w:numPr>
          <w:ilvl w:val="0"/>
          <w:numId w:val="3"/>
        </w:numPr>
        <w:spacing w:after="0" w:line="300" w:lineRule="auto"/>
        <w:ind w:left="567" w:hanging="567"/>
        <w:contextualSpacing/>
        <w:jc w:val="both"/>
        <w:rPr>
          <w:rFonts w:eastAsia="SimHei"/>
          <w:szCs w:val="28"/>
        </w:rPr>
      </w:pPr>
      <w:r w:rsidRPr="004808C4">
        <w:rPr>
          <w:rFonts w:eastAsia="SimHei"/>
          <w:szCs w:val="28"/>
        </w:rPr>
        <w:t>Ясперс К. Смысл и назначение истории. / Пер. с нем. – М.: Политиздат, 1991. – 528 с.</w:t>
      </w:r>
    </w:p>
    <w:p w:rsidR="00722A42" w:rsidRPr="004808C4" w:rsidRDefault="00722A42" w:rsidP="00722A42">
      <w:pPr>
        <w:keepNext/>
        <w:keepLines/>
        <w:spacing w:before="120"/>
        <w:outlineLvl w:val="1"/>
        <w:rPr>
          <w:rFonts w:asciiTheme="majorHAnsi" w:eastAsiaTheme="majorEastAsia" w:hAnsiTheme="majorHAnsi" w:cstheme="majorBidi"/>
          <w:b/>
          <w:bCs/>
          <w:szCs w:val="28"/>
        </w:rPr>
      </w:pPr>
      <w:r w:rsidRPr="004808C4">
        <w:rPr>
          <w:rFonts w:asciiTheme="majorHAnsi" w:eastAsiaTheme="majorEastAsia" w:hAnsiTheme="majorHAnsi" w:cstheme="majorBidi"/>
          <w:b/>
          <w:bCs/>
          <w:szCs w:val="28"/>
        </w:rPr>
        <w:t>Другие ресурсы</w:t>
      </w:r>
    </w:p>
    <w:p w:rsidR="00722A42" w:rsidRPr="004808C4" w:rsidRDefault="00722A42" w:rsidP="00722A42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3" w:history="1">
        <w:r w:rsidRPr="004808C4">
          <w:rPr>
            <w:color w:val="0563C1" w:themeColor="hyperlink"/>
            <w:u w:val="single"/>
            <w:lang w:val="de-DE"/>
          </w:rPr>
          <w:t>http://kennethjorgensen.com/worldbuilding/resources</w:t>
        </w:r>
      </w:hyperlink>
    </w:p>
    <w:p w:rsidR="00722A42" w:rsidRPr="004808C4" w:rsidRDefault="00722A42" w:rsidP="00722A42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4" w:history="1">
        <w:r w:rsidRPr="004808C4">
          <w:rPr>
            <w:color w:val="0563C1" w:themeColor="hyperlink"/>
            <w:u w:val="single"/>
            <w:lang w:val="de-DE"/>
          </w:rPr>
          <w:t>https://thedabbler.ca/ultimate-list-42-worldbuilding-resources/</w:t>
        </w:r>
      </w:hyperlink>
    </w:p>
    <w:p w:rsidR="00722A42" w:rsidRPr="004808C4" w:rsidRDefault="00722A42" w:rsidP="00722A42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5" w:history="1">
        <w:r w:rsidRPr="004808C4">
          <w:rPr>
            <w:color w:val="0563C1" w:themeColor="hyperlink"/>
            <w:u w:val="single"/>
            <w:lang w:val="de-DE"/>
          </w:rPr>
          <w:t>https://karavansara.live/features/worldbuilding-resources/</w:t>
        </w:r>
      </w:hyperlink>
    </w:p>
    <w:p w:rsidR="00722A42" w:rsidRPr="004808C4" w:rsidRDefault="00722A42" w:rsidP="00722A42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6" w:history="1">
        <w:r w:rsidRPr="004808C4">
          <w:rPr>
            <w:color w:val="0563C1" w:themeColor="hyperlink"/>
            <w:u w:val="single"/>
            <w:lang w:val="de-DE"/>
          </w:rPr>
          <w:t>http://thewritersaurus.com/2015/10/19/nanowrimo-world-building-resources/</w:t>
        </w:r>
      </w:hyperlink>
    </w:p>
    <w:p w:rsidR="00722A42" w:rsidRPr="004808C4" w:rsidRDefault="00722A42" w:rsidP="00722A42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7" w:history="1">
        <w:r w:rsidRPr="004808C4">
          <w:rPr>
            <w:color w:val="0563C1" w:themeColor="hyperlink"/>
            <w:u w:val="single"/>
            <w:lang w:val="de-DE"/>
          </w:rPr>
          <w:t>https://medium.com/columbia-dsl/30-immersive-storytelling-platforms-apps-resources-tools-e428309574be</w:t>
        </w:r>
      </w:hyperlink>
    </w:p>
    <w:p w:rsidR="00722A42" w:rsidRPr="004808C4" w:rsidRDefault="00722A42" w:rsidP="00722A42">
      <w:pPr>
        <w:numPr>
          <w:ilvl w:val="0"/>
          <w:numId w:val="1"/>
        </w:numPr>
        <w:spacing w:after="200"/>
        <w:rPr>
          <w:lang w:val="de-DE"/>
        </w:rPr>
      </w:pPr>
      <w:hyperlink r:id="rId28" w:history="1">
        <w:r w:rsidRPr="004808C4">
          <w:rPr>
            <w:color w:val="0563C1" w:themeColor="hyperlink"/>
            <w:u w:val="single"/>
            <w:lang w:val="de-DE"/>
          </w:rPr>
          <w:t>http://www.web-writer.net/fantasy/days/</w:t>
        </w:r>
      </w:hyperlink>
    </w:p>
    <w:p w:rsidR="00722A42" w:rsidRPr="002525FA" w:rsidRDefault="00722A42" w:rsidP="00722A42">
      <w:pPr>
        <w:numPr>
          <w:ilvl w:val="0"/>
          <w:numId w:val="1"/>
        </w:numPr>
        <w:spacing w:after="200" w:line="360" w:lineRule="auto"/>
        <w:jc w:val="both"/>
        <w:rPr>
          <w:lang w:val="de-DE"/>
        </w:rPr>
      </w:pPr>
      <w:hyperlink r:id="rId29" w:history="1">
        <w:r w:rsidRPr="00703C50">
          <w:rPr>
            <w:color w:val="0563C1" w:themeColor="hyperlink"/>
            <w:u w:val="single"/>
            <w:lang w:val="de-DE"/>
          </w:rPr>
          <w:t>https://worldbuilding</w:t>
        </w:r>
        <w:r w:rsidRPr="005D02FB">
          <w:rPr>
            <w:color w:val="0563C1" w:themeColor="hyperlink"/>
            <w:u w:val="single"/>
            <w:lang w:val="de-DE"/>
          </w:rPr>
          <w:t>.institute/</w:t>
        </w:r>
        <w:r w:rsidRPr="00457CD3">
          <w:rPr>
            <w:color w:val="0563C1" w:themeColor="hyperlink"/>
            <w:u w:val="single"/>
            <w:lang w:val="de-DE"/>
          </w:rPr>
          <w:t>people/alex-mcdowell</w:t>
        </w:r>
      </w:hyperlink>
    </w:p>
    <w:p w:rsidR="00D50F2E" w:rsidRPr="00722A42" w:rsidRDefault="00D50F2E">
      <w:pPr>
        <w:rPr>
          <w:lang w:val="de-DE"/>
        </w:rPr>
      </w:pPr>
      <w:bookmarkStart w:id="0" w:name="_GoBack"/>
      <w:bookmarkEnd w:id="0"/>
    </w:p>
    <w:sectPr w:rsidR="00D50F2E" w:rsidRPr="00722A42" w:rsidSect="00D560EC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63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76D25"/>
    <w:multiLevelType w:val="hybridMultilevel"/>
    <w:tmpl w:val="C6DA33B2"/>
    <w:lvl w:ilvl="0" w:tplc="BA3C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1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06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AD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A6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BEC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24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6F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5E3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F50F0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E60C85"/>
    <w:multiLevelType w:val="hybridMultilevel"/>
    <w:tmpl w:val="B256FD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36"/>
    <w:rsid w:val="00722A42"/>
    <w:rsid w:val="00B20136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0ACA-D8BB-40A9-B38B-1BC777CC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42"/>
    <w:pPr>
      <w:spacing w:after="120" w:line="276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722A42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A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72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d.nsau.edu.ru/jour/article/view/393/392" TargetMode="External"/><Relationship Id="rId13" Type="http://schemas.openxmlformats.org/officeDocument/2006/relationships/hyperlink" Target="https://artsoc.jes.su/s207751800012841-4-1/" TargetMode="External"/><Relationship Id="rId18" Type="http://schemas.openxmlformats.org/officeDocument/2006/relationships/hyperlink" Target="https://www.chitai-gorod.ru/books/authors/savchenko_a/" TargetMode="External"/><Relationship Id="rId26" Type="http://schemas.openxmlformats.org/officeDocument/2006/relationships/hyperlink" Target="http://thewritersaurus.com/2015/10/19/nanowrimo-world-building-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stalia.ru/translations/iolanda-yakobi-kompleks-arkhetip-simvol-glava-1-kompleks" TargetMode="External"/><Relationship Id="rId7" Type="http://schemas.openxmlformats.org/officeDocument/2006/relationships/hyperlink" Target="https://cs.journal-mirbis.ru/-/EN9hh51kkBTftZmEr797fQ/sv/document/11/b0/32/521295/288/72-78.pdf?1521810997" TargetMode="External"/><Relationship Id="rId12" Type="http://schemas.openxmlformats.org/officeDocument/2006/relationships/hyperlink" Target="https://artsoc.jes.su/s207751800010977-3-1/" TargetMode="External"/><Relationship Id="rId17" Type="http://schemas.openxmlformats.org/officeDocument/2006/relationships/hyperlink" Target="https://prostranstvo.nethouse.ru/static/doc/0000/0000/0146/146330.8cbz0e6uur.pdf" TargetMode="External"/><Relationship Id="rId25" Type="http://schemas.openxmlformats.org/officeDocument/2006/relationships/hyperlink" Target="https://karavansara.live/features/worldbuilding-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allrefs.net/c22/3gz4e/" TargetMode="External"/><Relationship Id="rId20" Type="http://schemas.openxmlformats.org/officeDocument/2006/relationships/hyperlink" Target="https://www.litmir.me/br/?b=139670&amp;p=1" TargetMode="External"/><Relationship Id="rId29" Type="http://schemas.openxmlformats.org/officeDocument/2006/relationships/hyperlink" Target="https://worldbuilding.institute/people/alex-mcdowel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arki.ru/wpress/2010/10/29/1338/" TargetMode="External"/><Relationship Id="rId11" Type="http://schemas.openxmlformats.org/officeDocument/2006/relationships/hyperlink" Target="https://profed.nsau.edu.ru/jour/article/view/644/623" TargetMode="External"/><Relationship Id="rId24" Type="http://schemas.openxmlformats.org/officeDocument/2006/relationships/hyperlink" Target="https://thedabbler.ca/ultimate-list-42-worldbuilding-resources/" TargetMode="External"/><Relationship Id="rId5" Type="http://schemas.openxmlformats.org/officeDocument/2006/relationships/hyperlink" Target="https://rus-philosophical-enc.slovaronline.com/" TargetMode="External"/><Relationship Id="rId15" Type="http://schemas.openxmlformats.org/officeDocument/2006/relationships/hyperlink" Target="https://ru.wikipedia.org/wiki/%D0%9C%D1%8E%D0%BB%D0%BB%D0%B5%D1%80,_%D0%A4%D1%80%D0%B8%D0%B4%D1%80%D0%B8%D1%85_%D0%9C%D0%B0%D0%BA%D1%81" TargetMode="External"/><Relationship Id="rId23" Type="http://schemas.openxmlformats.org/officeDocument/2006/relationships/hyperlink" Target="http://kennethjorgensen.com/worldbuilding/resources" TargetMode="External"/><Relationship Id="rId28" Type="http://schemas.openxmlformats.org/officeDocument/2006/relationships/hyperlink" Target="http://www.web-writer.net/fantasy/days/" TargetMode="External"/><Relationship Id="rId10" Type="http://schemas.openxmlformats.org/officeDocument/2006/relationships/hyperlink" Target="https://artsoc.jes.su/s207751800006883-0-1/" TargetMode="External"/><Relationship Id="rId19" Type="http://schemas.openxmlformats.org/officeDocument/2006/relationships/hyperlink" Target="https://www.chitai-gorod.ru/books/publishers/bombor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rofed.nsau.edu.ru/jour/article/view/587/568" TargetMode="External"/><Relationship Id="rId14" Type="http://schemas.openxmlformats.org/officeDocument/2006/relationships/hyperlink" Target="https://bookscafe.net/book/kun_nikolay-legendy_i_mify_drevney_grecii-41253.html" TargetMode="External"/><Relationship Id="rId22" Type="http://schemas.openxmlformats.org/officeDocument/2006/relationships/hyperlink" Target="https://carljung.ru/Library/Jacobi2.htm" TargetMode="External"/><Relationship Id="rId27" Type="http://schemas.openxmlformats.org/officeDocument/2006/relationships/hyperlink" Target="https://medium.com/columbia-dsl/30-immersive-storytelling-platforms-apps-resources-tools-e428309574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2088</Words>
  <Characters>11902</Characters>
  <Application>Microsoft Office Word</Application>
  <DocSecurity>0</DocSecurity>
  <Lines>99</Lines>
  <Paragraphs>27</Paragraphs>
  <ScaleCrop>false</ScaleCrop>
  <Company>Hewlett-Packard Company</Company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2022-01-21T09:53:00Z</dcterms:created>
  <dcterms:modified xsi:type="dcterms:W3CDTF">2022-01-21T09:53:00Z</dcterms:modified>
</cp:coreProperties>
</file>