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52" w:rsidRPr="00A97F99" w:rsidRDefault="007B4652" w:rsidP="007B4652">
      <w:pPr>
        <w:spacing w:line="360" w:lineRule="auto"/>
        <w:jc w:val="center"/>
        <w:rPr>
          <w:b/>
          <w:bCs/>
        </w:rPr>
      </w:pPr>
      <w:r w:rsidRPr="00A97F99">
        <w:rPr>
          <w:b/>
          <w:bCs/>
        </w:rPr>
        <w:t>МФК</w:t>
      </w:r>
    </w:p>
    <w:p w:rsidR="007B4652" w:rsidRPr="00A97F99" w:rsidRDefault="007B4652" w:rsidP="007B4652">
      <w:pPr>
        <w:pStyle w:val="a5"/>
        <w:spacing w:before="0" w:beforeAutospacing="0" w:after="0" w:afterAutospacing="0"/>
        <w:jc w:val="center"/>
        <w:rPr>
          <w:b/>
          <w:kern w:val="24"/>
        </w:rPr>
      </w:pPr>
      <w:r w:rsidRPr="00A97F99">
        <w:rPr>
          <w:b/>
          <w:kern w:val="24"/>
        </w:rPr>
        <w:t>«</w:t>
      </w:r>
      <w:r w:rsidRPr="00A97F99">
        <w:rPr>
          <w:b/>
          <w:bCs/>
        </w:rPr>
        <w:t>ТРАЕКТОРИИ СОЦИАЛЬНОГО ГОСУДАРСТВА В ЦИФРОВОЙ СРЕДЕ</w:t>
      </w:r>
      <w:r w:rsidRPr="00A97F99">
        <w:rPr>
          <w:b/>
          <w:kern w:val="24"/>
        </w:rPr>
        <w:t>»</w:t>
      </w:r>
    </w:p>
    <w:p w:rsidR="007B4652" w:rsidRDefault="007B4652" w:rsidP="007B4652">
      <w:pPr>
        <w:jc w:val="center"/>
        <w:rPr>
          <w:b/>
        </w:rPr>
      </w:pPr>
      <w:bookmarkStart w:id="0" w:name="_GoBack"/>
      <w:bookmarkEnd w:id="0"/>
    </w:p>
    <w:p w:rsidR="007B4652" w:rsidRPr="00A97F99" w:rsidRDefault="007B4652" w:rsidP="007B4652">
      <w:pPr>
        <w:jc w:val="center"/>
        <w:rPr>
          <w:b/>
        </w:rPr>
      </w:pPr>
      <w:r w:rsidRPr="00A97F99">
        <w:rPr>
          <w:b/>
        </w:rPr>
        <w:t>Вопросы для подготовки к зачету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 xml:space="preserve">Социальное государство: цели и механизмы 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Стратегия устойчивого развития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Направления и методы цифровой трансформации в РФ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Основные принципы моделирования и прогнозирования социальной динамики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Длинные волны Н. Кондратьева: статистическая модель.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 xml:space="preserve">Комплекс моделей на основе производственной функции </w:t>
      </w:r>
      <w:proofErr w:type="spellStart"/>
      <w:r w:rsidRPr="00A97F99">
        <w:t>Кобба</w:t>
      </w:r>
      <w:proofErr w:type="spellEnd"/>
      <w:r w:rsidRPr="00A97F99">
        <w:t>-Дугласа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Трансформация государственного управления в цифровых координатах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Принципы стратегического планирования социального развития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Формирование цифрового правительства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Долгосрочные и среднесрочные бюджетные прогнозы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Методики долгосрочных прогнозов социальной динамики РФ.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Модель налоговой системы: социальные аспекты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Финансовые и цифровые методы регулирования кредитно-денежной системы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«Цифровой разрыв» как вид социального неравенства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Бедность и эксклюзия: различие управляемых переменных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Механизм социального страхования. Актуарные расчеты</w:t>
      </w:r>
    </w:p>
    <w:p w:rsidR="007B4652" w:rsidRPr="00A97F99" w:rsidRDefault="007B4652" w:rsidP="007B465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Методики построения и расчета основных международных рейтингов социальной динамики</w:t>
      </w:r>
    </w:p>
    <w:p w:rsidR="007B4652" w:rsidRPr="00A97F99" w:rsidRDefault="007B4652" w:rsidP="007B4652">
      <w:pPr>
        <w:pStyle w:val="a3"/>
        <w:spacing w:line="360" w:lineRule="auto"/>
        <w:ind w:left="720"/>
        <w:contextualSpacing/>
        <w:jc w:val="both"/>
      </w:pPr>
    </w:p>
    <w:p w:rsidR="007B4652" w:rsidRPr="00A97F99" w:rsidRDefault="007B4652" w:rsidP="007B4652">
      <w:pPr>
        <w:jc w:val="center"/>
        <w:rPr>
          <w:rFonts w:eastAsia="MS Gothic"/>
          <w:b/>
          <w:bCs/>
          <w:kern w:val="24"/>
        </w:rPr>
      </w:pPr>
      <w:r w:rsidRPr="00A97F99">
        <w:rPr>
          <w:rFonts w:eastAsia="MS Gothic"/>
          <w:b/>
          <w:bCs/>
          <w:kern w:val="24"/>
        </w:rPr>
        <w:t>Критерии</w:t>
      </w:r>
      <w:r w:rsidRPr="00A97F99">
        <w:rPr>
          <w:rFonts w:eastAsia="MS Gothic"/>
          <w:kern w:val="24"/>
        </w:rPr>
        <w:t xml:space="preserve"> </w:t>
      </w:r>
      <w:r w:rsidRPr="00A97F99">
        <w:rPr>
          <w:rFonts w:eastAsia="MS Gothic"/>
          <w:b/>
          <w:bCs/>
          <w:kern w:val="24"/>
        </w:rPr>
        <w:t>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90"/>
        <w:gridCol w:w="8607"/>
      </w:tblGrid>
      <w:tr w:rsidR="007B4652" w:rsidRPr="00A97F99" w:rsidTr="007C0CB3">
        <w:trPr>
          <w:trHeight w:val="584"/>
        </w:trPr>
        <w:tc>
          <w:tcPr>
            <w:tcW w:w="562" w:type="pct"/>
            <w:shd w:val="clear" w:color="auto" w:fill="auto"/>
          </w:tcPr>
          <w:p w:rsidR="007B4652" w:rsidRPr="00A97F99" w:rsidRDefault="007B4652" w:rsidP="007C0CB3">
            <w:r w:rsidRPr="00A97F99">
              <w:rPr>
                <w:kern w:val="24"/>
              </w:rPr>
              <w:t xml:space="preserve">Зачтено </w:t>
            </w:r>
          </w:p>
        </w:tc>
        <w:tc>
          <w:tcPr>
            <w:tcW w:w="4438" w:type="pct"/>
            <w:shd w:val="clear" w:color="auto" w:fill="auto"/>
          </w:tcPr>
          <w:p w:rsidR="007B4652" w:rsidRPr="00A97F99" w:rsidRDefault="007B4652" w:rsidP="007C0CB3">
            <w:r w:rsidRPr="00A97F99">
              <w:rPr>
                <w:kern w:val="24"/>
              </w:rPr>
              <w:t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дает хорошие ответы на основной и дополнительные вопросы.</w:t>
            </w:r>
          </w:p>
        </w:tc>
      </w:tr>
      <w:tr w:rsidR="007B4652" w:rsidRPr="00A97F99" w:rsidTr="007C0CB3">
        <w:trPr>
          <w:trHeight w:val="584"/>
        </w:trPr>
        <w:tc>
          <w:tcPr>
            <w:tcW w:w="562" w:type="pct"/>
            <w:shd w:val="clear" w:color="auto" w:fill="auto"/>
          </w:tcPr>
          <w:p w:rsidR="007B4652" w:rsidRPr="00A97F99" w:rsidRDefault="007B4652" w:rsidP="007C0CB3">
            <w:r w:rsidRPr="00A97F99">
              <w:rPr>
                <w:kern w:val="24"/>
              </w:rPr>
              <w:t xml:space="preserve">Не зачтено </w:t>
            </w:r>
          </w:p>
        </w:tc>
        <w:tc>
          <w:tcPr>
            <w:tcW w:w="4438" w:type="pct"/>
            <w:shd w:val="clear" w:color="auto" w:fill="auto"/>
          </w:tcPr>
          <w:p w:rsidR="007B4652" w:rsidRPr="00A97F99" w:rsidRDefault="007B4652" w:rsidP="007C0CB3">
            <w:r w:rsidRPr="00A97F99">
              <w:rPr>
                <w:kern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C03C11" w:rsidRDefault="00C03C11"/>
    <w:sectPr w:rsidR="00C03C11" w:rsidSect="00AA4276">
      <w:pgSz w:w="11900" w:h="16840"/>
      <w:pgMar w:top="1134" w:right="127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4009"/>
    <w:multiLevelType w:val="hybridMultilevel"/>
    <w:tmpl w:val="A82647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52"/>
    <w:rsid w:val="006751F9"/>
    <w:rsid w:val="007B4652"/>
    <w:rsid w:val="00AA4276"/>
    <w:rsid w:val="00C0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5A19-FAAF-4CF6-A48B-6B4B52A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4652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7B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B4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 В.В.</dc:creator>
  <cp:keywords/>
  <dc:description/>
  <cp:lastModifiedBy>Зырянов В.В.</cp:lastModifiedBy>
  <cp:revision>1</cp:revision>
  <dcterms:created xsi:type="dcterms:W3CDTF">2020-11-11T11:20:00Z</dcterms:created>
  <dcterms:modified xsi:type="dcterms:W3CDTF">2020-11-11T11:21:00Z</dcterms:modified>
</cp:coreProperties>
</file>