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89" w:rsidRDefault="00FD5B89" w:rsidP="00FD5B89">
      <w:pPr>
        <w:jc w:val="center"/>
        <w:rPr>
          <w:b/>
          <w:sz w:val="28"/>
          <w:szCs w:val="28"/>
        </w:rPr>
      </w:pPr>
      <w:bookmarkStart w:id="0" w:name="_Hlk464241793"/>
      <w:r>
        <w:rPr>
          <w:b/>
          <w:sz w:val="28"/>
          <w:szCs w:val="28"/>
        </w:rPr>
        <w:t>МФК</w:t>
      </w:r>
    </w:p>
    <w:p w:rsidR="00FD5B89" w:rsidRDefault="00FD5B89" w:rsidP="00FD5B89">
      <w:pPr>
        <w:jc w:val="center"/>
        <w:rPr>
          <w:b/>
          <w:sz w:val="28"/>
          <w:szCs w:val="28"/>
        </w:rPr>
      </w:pPr>
      <w:r w:rsidRPr="000C2B9E">
        <w:rPr>
          <w:b/>
          <w:sz w:val="28"/>
          <w:szCs w:val="28"/>
        </w:rPr>
        <w:t>«</w:t>
      </w:r>
      <w:bookmarkStart w:id="1" w:name="_Hlk464728485"/>
      <w:bookmarkEnd w:id="0"/>
      <w:r w:rsidRPr="000C2B9E">
        <w:rPr>
          <w:b/>
          <w:sz w:val="28"/>
          <w:szCs w:val="28"/>
        </w:rPr>
        <w:t>Революция» (</w:t>
      </w:r>
      <w:r w:rsidRPr="000C2B9E">
        <w:rPr>
          <w:b/>
          <w:sz w:val="28"/>
          <w:szCs w:val="28"/>
          <w:lang w:val="en-US"/>
        </w:rPr>
        <w:t>Human</w:t>
      </w:r>
      <w:r w:rsidRPr="000C2B9E">
        <w:rPr>
          <w:b/>
          <w:sz w:val="28"/>
          <w:szCs w:val="28"/>
        </w:rPr>
        <w:t xml:space="preserve"> </w:t>
      </w:r>
      <w:r w:rsidRPr="000C2B9E">
        <w:rPr>
          <w:b/>
          <w:sz w:val="28"/>
          <w:szCs w:val="28"/>
          <w:lang w:val="en-US"/>
        </w:rPr>
        <w:t>Hacking</w:t>
      </w:r>
      <w:r w:rsidRPr="000C2B9E">
        <w:rPr>
          <w:b/>
          <w:sz w:val="28"/>
          <w:szCs w:val="28"/>
        </w:rPr>
        <w:t>) в постиндустриальной организации: управленческие и маркетинговые технологии</w:t>
      </w:r>
      <w:bookmarkEnd w:id="1"/>
      <w:r w:rsidRPr="000C2B9E">
        <w:rPr>
          <w:b/>
          <w:sz w:val="28"/>
          <w:szCs w:val="28"/>
        </w:rPr>
        <w:t xml:space="preserve">  </w:t>
      </w:r>
    </w:p>
    <w:p w:rsidR="00FD5B89" w:rsidRDefault="00FD5B89" w:rsidP="00FD5B89">
      <w:pPr>
        <w:jc w:val="center"/>
        <w:rPr>
          <w:b/>
          <w:sz w:val="28"/>
          <w:szCs w:val="28"/>
        </w:rPr>
      </w:pPr>
    </w:p>
    <w:p w:rsidR="00FD5B89" w:rsidRPr="00FD5B89" w:rsidRDefault="00FD5B89" w:rsidP="00FD5B89">
      <w:pPr>
        <w:jc w:val="center"/>
        <w:rPr>
          <w:color w:val="FF0000"/>
          <w:sz w:val="28"/>
          <w:szCs w:val="28"/>
        </w:rPr>
      </w:pPr>
      <w:r w:rsidRPr="00FD5B89">
        <w:rPr>
          <w:b/>
          <w:bCs/>
          <w:kern w:val="24"/>
          <w:sz w:val="28"/>
          <w:szCs w:val="28"/>
        </w:rPr>
        <w:t>Вопросы для подготовки к зачету:</w:t>
      </w:r>
    </w:p>
    <w:p w:rsidR="00FD5B89" w:rsidRPr="00FD5B89" w:rsidRDefault="00FD5B89" w:rsidP="00FD5B89">
      <w:pPr>
        <w:ind w:firstLine="709"/>
        <w:jc w:val="both"/>
        <w:rPr>
          <w:sz w:val="28"/>
          <w:szCs w:val="28"/>
        </w:rPr>
      </w:pP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rPr>
          <w:lang w:val="en-US"/>
        </w:rPr>
        <w:t>Hi</w:t>
      </w:r>
      <w:r w:rsidRPr="00F130ED">
        <w:t>-</w:t>
      </w:r>
      <w:proofErr w:type="spellStart"/>
      <w:r w:rsidRPr="00F130ED">
        <w:rPr>
          <w:lang w:val="en-US"/>
        </w:rPr>
        <w:t>hume</w:t>
      </w:r>
      <w:proofErr w:type="spellEnd"/>
      <w:r w:rsidRPr="00F130ED">
        <w:t xml:space="preserve"> технологии: проблема </w:t>
      </w:r>
      <w:proofErr w:type="spellStart"/>
      <w:r w:rsidRPr="00F130ED">
        <w:t>операционализации</w:t>
      </w:r>
      <w:proofErr w:type="spellEnd"/>
      <w:r w:rsidRPr="00F130ED">
        <w:t xml:space="preserve"> понятия.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proofErr w:type="spellStart"/>
      <w:r w:rsidRPr="00F130ED">
        <w:t>Технологизация</w:t>
      </w:r>
      <w:proofErr w:type="spellEnd"/>
      <w:r w:rsidRPr="00F130ED">
        <w:t xml:space="preserve"> социального мира и ее ограничения.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Социальное прогнозирование.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Форсайт. Новые инструменты прогнозирования.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Деловые культуры мира.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Модели деловых культур.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Эффективность современной организации. Ключевые показатели эффективности.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Корпоративная культура: уровни анализа.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Типологии корпоративных культур.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 xml:space="preserve">Командная работа в организации. </w:t>
      </w:r>
      <w:proofErr w:type="spellStart"/>
      <w:r w:rsidRPr="00F130ED">
        <w:t>Командообразование</w:t>
      </w:r>
      <w:proofErr w:type="spellEnd"/>
      <w:r w:rsidRPr="00F130ED">
        <w:t>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 xml:space="preserve">Командные роли: модель </w:t>
      </w:r>
      <w:r>
        <w:t>Р.</w:t>
      </w:r>
      <w:bookmarkStart w:id="2" w:name="_GoBack"/>
      <w:bookmarkEnd w:id="2"/>
      <w:r w:rsidRPr="00F130ED">
        <w:t xml:space="preserve">М. </w:t>
      </w:r>
      <w:proofErr w:type="spellStart"/>
      <w:r w:rsidRPr="00F130ED">
        <w:t>Белбина</w:t>
      </w:r>
      <w:proofErr w:type="spellEnd"/>
      <w:r w:rsidRPr="00F130ED">
        <w:t>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Лояльность и вовлеченность персонала.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Инструменты формирования вовлеченности.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Корпоративный патриотизм: преимущества и недостатки.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Западные бизнес-культуры: США, Великобритания, Германия, Франция, скандинавские страны.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Восточные бизнес-культуры: Китай, Япония, Индия, арабские страны.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Российская деловая культура.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«Западная» модель менеджмента.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«Восточная» модель менеджмента.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 xml:space="preserve">Социальные факторы детерминации выбора потребителя. 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Основные тренды изменения потребительского поведения.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Современные методы изучения потребителей: возможности и ограничения.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Потребительский опыт как фактор выбора товара/услуги: методы изучения и направления использования.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proofErr w:type="spellStart"/>
      <w:r w:rsidRPr="00F130ED">
        <w:t>Краудсор</w:t>
      </w:r>
      <w:r>
        <w:t>синг</w:t>
      </w:r>
      <w:proofErr w:type="spellEnd"/>
      <w:r>
        <w:t xml:space="preserve"> как социальная технология </w:t>
      </w:r>
      <w:r w:rsidRPr="00F130ED">
        <w:t xml:space="preserve">взаимодействия с потребителем: направления использования. 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Потребительская социализация. Методы и инструменты потребительской социализации в современных условиях.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>Национальные особенности потребительской культуры в России.</w:t>
      </w:r>
    </w:p>
    <w:p w:rsidR="00FD5B89" w:rsidRPr="00F130ED" w:rsidRDefault="00FD5B89" w:rsidP="00FD5B89">
      <w:pPr>
        <w:pStyle w:val="a3"/>
        <w:numPr>
          <w:ilvl w:val="0"/>
          <w:numId w:val="1"/>
        </w:numPr>
        <w:spacing w:after="0"/>
      </w:pPr>
      <w:r w:rsidRPr="00F130ED">
        <w:t xml:space="preserve"> Виды потребительской лояльности и методы их измерения: достоинства и недостатки.  Социальные и социально-психологические факторы удержания потребителя. </w:t>
      </w:r>
    </w:p>
    <w:p w:rsidR="00FD5B89" w:rsidRPr="00F130ED" w:rsidRDefault="00FD5B89" w:rsidP="00FD5B89">
      <w:pPr>
        <w:numPr>
          <w:ilvl w:val="0"/>
          <w:numId w:val="1"/>
        </w:numPr>
        <w:jc w:val="both"/>
        <w:rPr>
          <w:b/>
        </w:rPr>
      </w:pPr>
      <w:r w:rsidRPr="00F130ED">
        <w:t>Архетипы: понятие, виды, способы выявления и методы использования в управлении потребителем</w:t>
      </w:r>
    </w:p>
    <w:p w:rsidR="00FD5B89" w:rsidRPr="00F130ED" w:rsidRDefault="00FD5B89" w:rsidP="00FD5B89">
      <w:pPr>
        <w:numPr>
          <w:ilvl w:val="0"/>
          <w:numId w:val="1"/>
        </w:numPr>
        <w:jc w:val="both"/>
      </w:pPr>
      <w:r w:rsidRPr="00F130ED">
        <w:t xml:space="preserve"> Определение эмоций, взаимосвязь эмоций с понятиями аффект, гедонизм, настроение. Социальный характер эмоций.</w:t>
      </w:r>
    </w:p>
    <w:p w:rsidR="00FD5B89" w:rsidRPr="00F130ED" w:rsidRDefault="00FD5B89" w:rsidP="00FD5B89">
      <w:pPr>
        <w:numPr>
          <w:ilvl w:val="0"/>
          <w:numId w:val="1"/>
        </w:numPr>
        <w:jc w:val="both"/>
      </w:pPr>
      <w:r w:rsidRPr="00F130ED">
        <w:t xml:space="preserve"> </w:t>
      </w:r>
      <w:proofErr w:type="spellStart"/>
      <w:r w:rsidRPr="00F130ED">
        <w:t>Типологизация</w:t>
      </w:r>
      <w:proofErr w:type="spellEnd"/>
      <w:r w:rsidRPr="00F130ED">
        <w:t xml:space="preserve"> эмоций. Методы измерения эмоций: достоинства/недостатки, применимость в маркетинговой практике.</w:t>
      </w:r>
    </w:p>
    <w:p w:rsidR="00FD5B89" w:rsidRPr="00F130ED" w:rsidRDefault="00FD5B89" w:rsidP="00FD5B89">
      <w:pPr>
        <w:numPr>
          <w:ilvl w:val="0"/>
          <w:numId w:val="1"/>
        </w:numPr>
      </w:pPr>
      <w:proofErr w:type="spellStart"/>
      <w:r w:rsidRPr="00F130ED">
        <w:t>Консьюмеризм</w:t>
      </w:r>
      <w:proofErr w:type="spellEnd"/>
      <w:r w:rsidRPr="00F130ED">
        <w:t xml:space="preserve">. Глобальная перспектива </w:t>
      </w:r>
      <w:proofErr w:type="spellStart"/>
      <w:r w:rsidRPr="00F130ED">
        <w:t>консьюмеризма</w:t>
      </w:r>
      <w:proofErr w:type="spellEnd"/>
      <w:r w:rsidRPr="00F130ED">
        <w:t xml:space="preserve">. </w:t>
      </w:r>
    </w:p>
    <w:p w:rsidR="00FD5B89" w:rsidRPr="00F130ED" w:rsidRDefault="00FD5B89" w:rsidP="00FD5B89">
      <w:pPr>
        <w:numPr>
          <w:ilvl w:val="0"/>
          <w:numId w:val="1"/>
        </w:numPr>
        <w:jc w:val="both"/>
      </w:pPr>
      <w:r w:rsidRPr="00F130ED">
        <w:t>Факторы формирования и механизмы изменения институтов потребления в современных условиях.</w:t>
      </w:r>
    </w:p>
    <w:p w:rsidR="00FD5B89" w:rsidRPr="00F130ED" w:rsidRDefault="00FD5B89" w:rsidP="00FD5B89">
      <w:pPr>
        <w:numPr>
          <w:ilvl w:val="0"/>
          <w:numId w:val="1"/>
        </w:numPr>
        <w:jc w:val="both"/>
        <w:rPr>
          <w:b/>
        </w:rPr>
      </w:pPr>
      <w:r w:rsidRPr="00F130ED">
        <w:t>Стратегии конвергенции ритейла с досуговыми, культурными, образовательными институтами</w:t>
      </w:r>
      <w:r w:rsidRPr="00F130ED">
        <w:rPr>
          <w:b/>
        </w:rPr>
        <w:t xml:space="preserve">.  </w:t>
      </w:r>
    </w:p>
    <w:p w:rsidR="00FD5B89" w:rsidRPr="00F130ED" w:rsidRDefault="00FD5B89" w:rsidP="00FD5B89">
      <w:pPr>
        <w:numPr>
          <w:ilvl w:val="0"/>
          <w:numId w:val="1"/>
        </w:numPr>
        <w:jc w:val="both"/>
      </w:pPr>
      <w:r>
        <w:t xml:space="preserve">Эффективные </w:t>
      </w:r>
      <w:r w:rsidRPr="00F130ED">
        <w:t>социальные технологии привлечения и удержания потребителя в месте продаж</w:t>
      </w:r>
    </w:p>
    <w:p w:rsidR="00FD5B89" w:rsidRDefault="00FD5B89" w:rsidP="00FD5B89">
      <w:pPr>
        <w:ind w:firstLine="709"/>
        <w:jc w:val="both"/>
        <w:rPr>
          <w:b/>
          <w:sz w:val="28"/>
          <w:szCs w:val="28"/>
        </w:rPr>
      </w:pPr>
    </w:p>
    <w:p w:rsidR="00FD5B89" w:rsidRPr="006E0B13" w:rsidRDefault="00FD5B89" w:rsidP="00FD5B89">
      <w:pPr>
        <w:jc w:val="center"/>
        <w:rPr>
          <w:rFonts w:eastAsia="MS Gothic"/>
          <w:b/>
          <w:bCs/>
          <w:kern w:val="24"/>
        </w:rPr>
      </w:pPr>
      <w:r w:rsidRPr="006E0B13">
        <w:rPr>
          <w:rFonts w:eastAsia="MS Gothic"/>
          <w:b/>
          <w:bCs/>
          <w:kern w:val="24"/>
        </w:rPr>
        <w:t>Критерии</w:t>
      </w:r>
      <w:r w:rsidRPr="006E0B13">
        <w:rPr>
          <w:rFonts w:eastAsia="MS Gothic"/>
          <w:kern w:val="24"/>
        </w:rPr>
        <w:t xml:space="preserve"> </w:t>
      </w:r>
      <w:r w:rsidRPr="006E0B13">
        <w:rPr>
          <w:rFonts w:eastAsia="MS Gothic"/>
          <w:b/>
          <w:bCs/>
          <w:kern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90"/>
        <w:gridCol w:w="8607"/>
      </w:tblGrid>
      <w:tr w:rsidR="00FD5B89" w:rsidRPr="00425F03" w:rsidTr="00755D92">
        <w:trPr>
          <w:trHeight w:val="584"/>
        </w:trPr>
        <w:tc>
          <w:tcPr>
            <w:tcW w:w="562" w:type="pct"/>
            <w:shd w:val="clear" w:color="auto" w:fill="auto"/>
          </w:tcPr>
          <w:p w:rsidR="00FD5B89" w:rsidRPr="006E0B13" w:rsidRDefault="00FD5B89" w:rsidP="00755D92">
            <w:r w:rsidRPr="006E0B13">
              <w:rPr>
                <w:kern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</w:tcPr>
          <w:p w:rsidR="00FD5B89" w:rsidRPr="006E0B13" w:rsidRDefault="00FD5B89" w:rsidP="00755D92">
            <w:r w:rsidRPr="006E0B13">
              <w:rPr>
                <w:kern w:val="24"/>
              </w:rPr>
              <w:t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</w:t>
            </w:r>
            <w:r>
              <w:rPr>
                <w:kern w:val="24"/>
              </w:rPr>
              <w:t xml:space="preserve">т хорошие ответы на основной и </w:t>
            </w:r>
            <w:r w:rsidRPr="006E0B13">
              <w:rPr>
                <w:kern w:val="24"/>
              </w:rPr>
              <w:t>дополнительные вопросы.</w:t>
            </w:r>
          </w:p>
        </w:tc>
      </w:tr>
      <w:tr w:rsidR="00FD5B89" w:rsidRPr="00425F03" w:rsidTr="00755D92">
        <w:trPr>
          <w:trHeight w:val="584"/>
        </w:trPr>
        <w:tc>
          <w:tcPr>
            <w:tcW w:w="562" w:type="pct"/>
            <w:shd w:val="clear" w:color="auto" w:fill="auto"/>
          </w:tcPr>
          <w:p w:rsidR="00FD5B89" w:rsidRPr="006E0B13" w:rsidRDefault="00FD5B89" w:rsidP="00755D92">
            <w:r w:rsidRPr="006E0B13">
              <w:rPr>
                <w:kern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</w:tcPr>
          <w:p w:rsidR="00FD5B89" w:rsidRPr="006E0B13" w:rsidRDefault="00FD5B89" w:rsidP="00755D92">
            <w:r w:rsidRPr="006E0B13">
              <w:rPr>
                <w:kern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FD5B89" w:rsidRDefault="00FD5B89" w:rsidP="00FD5B89"/>
    <w:p w:rsidR="00FD5B89" w:rsidRPr="000C2B9E" w:rsidRDefault="00FD5B89" w:rsidP="00FD5B89">
      <w:pPr>
        <w:jc w:val="center"/>
        <w:rPr>
          <w:b/>
          <w:sz w:val="28"/>
          <w:szCs w:val="28"/>
        </w:rPr>
      </w:pPr>
    </w:p>
    <w:p w:rsidR="00C03C11" w:rsidRDefault="00C03C11"/>
    <w:sectPr w:rsidR="00C03C11" w:rsidSect="00AA4276">
      <w:pgSz w:w="11900" w:h="16840"/>
      <w:pgMar w:top="1134" w:right="127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A0D"/>
    <w:multiLevelType w:val="hybridMultilevel"/>
    <w:tmpl w:val="F74CBD9C"/>
    <w:lvl w:ilvl="0" w:tplc="C18A5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89"/>
    <w:rsid w:val="006751F9"/>
    <w:rsid w:val="00AA4276"/>
    <w:rsid w:val="00C03C11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4B0E-4016-4FEB-A22E-454A6E3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B89"/>
    <w:pPr>
      <w:spacing w:after="120"/>
    </w:pPr>
  </w:style>
  <w:style w:type="character" w:customStyle="1" w:styleId="a4">
    <w:name w:val="Основной текст Знак"/>
    <w:basedOn w:val="a0"/>
    <w:link w:val="a3"/>
    <w:rsid w:val="00FD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 В.В.</dc:creator>
  <cp:keywords/>
  <dc:description/>
  <cp:lastModifiedBy>Зырянов В.В.</cp:lastModifiedBy>
  <cp:revision>1</cp:revision>
  <dcterms:created xsi:type="dcterms:W3CDTF">2020-11-11T11:36:00Z</dcterms:created>
  <dcterms:modified xsi:type="dcterms:W3CDTF">2020-11-11T11:39:00Z</dcterms:modified>
</cp:coreProperties>
</file>