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57" w:rsidRDefault="003A495E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зачету по курсу “Интеграционные процессы на постсоветском пространстве”.</w:t>
      </w:r>
    </w:p>
    <w:p w:rsidR="00865457" w:rsidRDefault="003A495E">
      <w:pPr>
        <w:pStyle w:val="normal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Лекторы: д.э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.н., профессор М.И. Кротов,</w:t>
      </w:r>
    </w:p>
    <w:p w:rsidR="00865457" w:rsidRDefault="003A495E">
      <w:pPr>
        <w:pStyle w:val="normal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к.п.н., доцент Е.А. Худоренко.</w:t>
      </w:r>
    </w:p>
    <w:p w:rsidR="00865457" w:rsidRDefault="00865457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суверенитета.</w:t>
      </w:r>
    </w:p>
    <w:p w:rsidR="00865457" w:rsidRDefault="003A495E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Геополитическая однополярность и фактор недееспособности государства.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Глобализация и регионализация в системе международных отношений.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Предпосылки и причины интеграции: от простых форм к Союзу.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Политические аспекты региональной интеграции.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Этническая, историческая, конфессиональная, культурная, экономическая общность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рий, разделенных национально-политическими границами.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«Цветная революция»: характерные черты.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«Мягкая сила» и «управляемый хаос» как инструменты в современной мировой политике.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Интеграционные процессы интеграционные процессы в Северной Америке.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латиноамериканской интеграции в Меркосур.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Процессы интеграции и дезинтеграции на постсоветском пространстве.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интеграционных группировок и проблемы интеграционной политики России.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Союзное государство Беларуси и России: достижения, проблемы, перспектив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синхронизации проводимых Белоруссией и Россией реформ.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Интеграционные процессы на постсоветском пространстве и перспективы АТЭС.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становления и развития СНГ.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и институциональные основы Содружества независимых государств.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СНГ: инст</w:t>
      </w:r>
      <w:r>
        <w:rPr>
          <w:rFonts w:ascii="Times New Roman" w:eastAsia="Times New Roman" w:hAnsi="Times New Roman" w:cs="Times New Roman"/>
          <w:sz w:val="28"/>
          <w:szCs w:val="28"/>
        </w:rPr>
        <w:t>итуты, интеграционные процессы, конфликты и парламентская дипломатия.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свободной торговли СНГ.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рынок труда в СНГ.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государственного устройства стран СНГ. 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государственного устройства унитарных государств СНГ.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государственной власти в странах - участников Содружества.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Конституционное развитие стран СНГ и принцип «второго языка».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военно-политического сотрудничества стран СНГ.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международные экономические организации.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Единое евразий</w:t>
      </w:r>
      <w:r>
        <w:rPr>
          <w:rFonts w:ascii="Times New Roman" w:eastAsia="Times New Roman" w:hAnsi="Times New Roman" w:cs="Times New Roman"/>
          <w:sz w:val="28"/>
          <w:szCs w:val="28"/>
        </w:rPr>
        <w:t>ское экономическое пространство.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«внутри» ЕАЭС: два главных мотива интеграции.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органы Евразийского экономического союза.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суда Евразийского экономического союза.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Функциональные проблемы евразийской экономической интеграции.</w:t>
      </w:r>
    </w:p>
    <w:p w:rsidR="00865457" w:rsidRDefault="003A495E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Либерализм и патернализм.</w:t>
      </w:r>
    </w:p>
    <w:p w:rsidR="00865457" w:rsidRDefault="00865457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57" w:rsidRDefault="00865457">
      <w:pPr>
        <w:pStyle w:val="normal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865457" w:rsidRDefault="00865457">
      <w:pPr>
        <w:pStyle w:val="normal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sectPr w:rsidR="00865457" w:rsidSect="0086545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55D"/>
    <w:multiLevelType w:val="multilevel"/>
    <w:tmpl w:val="E80EF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865457"/>
    <w:rsid w:val="003A495E"/>
    <w:rsid w:val="0086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54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654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654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654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654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654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5457"/>
  </w:style>
  <w:style w:type="table" w:customStyle="1" w:styleId="TableNormal">
    <w:name w:val="Table Normal"/>
    <w:rsid w:val="008654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54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6545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ZamDekanaPoUchRab</cp:lastModifiedBy>
  <cp:revision>3</cp:revision>
  <dcterms:created xsi:type="dcterms:W3CDTF">2017-11-08T08:01:00Z</dcterms:created>
  <dcterms:modified xsi:type="dcterms:W3CDTF">2017-11-08T08:01:00Z</dcterms:modified>
</cp:coreProperties>
</file>